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A9841" w14:textId="7372F179" w:rsidR="00466D5D" w:rsidRPr="006A035F" w:rsidRDefault="00D02EB8" w:rsidP="00D02EB8">
      <w:pPr>
        <w:pStyle w:val="Heading1"/>
      </w:pPr>
      <w:bookmarkStart w:id="0" w:name="_Toc95871492"/>
      <w:r w:rsidRPr="00762371">
        <w:t>References</w:t>
      </w:r>
      <w:bookmarkEnd w:id="0"/>
    </w:p>
    <w:p w14:paraId="3C1DFD98" w14:textId="43B0AB3D" w:rsidR="00C2733C" w:rsidRPr="00C2733C" w:rsidRDefault="00C2733C" w:rsidP="00C2733C">
      <w:pPr>
        <w:pStyle w:val="EndNoteBibliography"/>
        <w:spacing w:after="0"/>
        <w:ind w:left="720" w:hanging="720"/>
      </w:pPr>
      <w:r w:rsidRPr="00C2733C">
        <w:t xml:space="preserve">1. Patel V, Chisholm D, Parikh R, et al. Addressing the burden of mental, neurological, and substance use disorders: key messages from Disease Control Priorities, 3rd edition. </w:t>
      </w:r>
      <w:r w:rsidRPr="00C2733C">
        <w:rPr>
          <w:i/>
        </w:rPr>
        <w:t>Lancet</w:t>
      </w:r>
      <w:r w:rsidRPr="00C2733C">
        <w:t xml:space="preserve"> 2016;387(10028):1672-85. doi: 10.1016/S0140-6736(15)00390-6 [published Online First: 2015/10/12]</w:t>
      </w:r>
    </w:p>
    <w:p w14:paraId="5D323C7D" w14:textId="77777777" w:rsidR="00C2733C" w:rsidRPr="00C2733C" w:rsidRDefault="00C2733C" w:rsidP="00C2733C">
      <w:pPr>
        <w:pStyle w:val="EndNoteBibliography"/>
        <w:spacing w:after="0"/>
        <w:ind w:left="720" w:hanging="720"/>
      </w:pPr>
      <w:r w:rsidRPr="00C2733C">
        <w:t xml:space="preserve">2. Iacobucci G. NHS prescribed record number of antidepressants last year. </w:t>
      </w:r>
      <w:r w:rsidRPr="00C2733C">
        <w:rPr>
          <w:i/>
        </w:rPr>
        <w:t>BMJ</w:t>
      </w:r>
      <w:r w:rsidRPr="00C2733C">
        <w:t xml:space="preserve"> 2019;364:l1508. doi: 10.1136/bmj.l1508 [published Online First: 2019/03/31]</w:t>
      </w:r>
    </w:p>
    <w:p w14:paraId="5B1A4797" w14:textId="77777777" w:rsidR="00C2733C" w:rsidRPr="00C2733C" w:rsidRDefault="00C2733C" w:rsidP="00C2733C">
      <w:pPr>
        <w:pStyle w:val="EndNoteBibliography"/>
        <w:spacing w:after="0"/>
        <w:ind w:left="720" w:hanging="720"/>
      </w:pPr>
      <w:r w:rsidRPr="00C2733C">
        <w:t xml:space="preserve">3. Moore M, Yuen HM, Dunn N, et al. Explaining the rise in antidepressant prescribing: a descriptive study using the general practice research database. </w:t>
      </w:r>
      <w:r w:rsidRPr="00C2733C">
        <w:rPr>
          <w:i/>
        </w:rPr>
        <w:t>BMJ</w:t>
      </w:r>
      <w:r w:rsidRPr="00C2733C">
        <w:t xml:space="preserve"> 2009;339:b3999. doi: 10.1136/bmj.b3999 [published Online First: 2009/10/17]</w:t>
      </w:r>
    </w:p>
    <w:p w14:paraId="6567A761" w14:textId="77777777" w:rsidR="00C2733C" w:rsidRPr="00C2733C" w:rsidRDefault="00C2733C" w:rsidP="00C2733C">
      <w:pPr>
        <w:pStyle w:val="EndNoteBibliography"/>
        <w:spacing w:after="0"/>
        <w:ind w:left="720" w:hanging="720"/>
      </w:pPr>
      <w:r w:rsidRPr="00C2733C">
        <w:t>4. McManus S, Bebbington P, Jenkins R, et al. Mental health and wellbeing in England: Adult Psychiatric Morbidity Survey 2014. . Leeds, 2016.</w:t>
      </w:r>
    </w:p>
    <w:p w14:paraId="4724B01A" w14:textId="77777777" w:rsidR="00C2733C" w:rsidRPr="00C2733C" w:rsidRDefault="00C2733C" w:rsidP="00C2733C">
      <w:pPr>
        <w:pStyle w:val="EndNoteBibliography"/>
        <w:spacing w:after="0"/>
        <w:ind w:left="720" w:hanging="720"/>
      </w:pPr>
      <w:r w:rsidRPr="00C2733C">
        <w:t xml:space="preserve">5. Howard LM, Molyneaux E, Dennis CL, et al. Non-psychotic mental disorders in the perinatal period. </w:t>
      </w:r>
      <w:r w:rsidRPr="00C2733C">
        <w:rPr>
          <w:i/>
        </w:rPr>
        <w:t>Lancet</w:t>
      </w:r>
      <w:r w:rsidRPr="00C2733C">
        <w:t xml:space="preserve"> 2014;384(9956):1775-88. doi: S0140-6736(14)61276-9 [pii];10.1016/S0140-6736(14)61276-9 [doi]</w:t>
      </w:r>
    </w:p>
    <w:p w14:paraId="0F0B8D7C" w14:textId="77777777" w:rsidR="00C2733C" w:rsidRPr="00C2733C" w:rsidRDefault="00C2733C" w:rsidP="00C2733C">
      <w:pPr>
        <w:pStyle w:val="EndNoteBibliography"/>
        <w:spacing w:after="0"/>
        <w:ind w:left="720" w:hanging="720"/>
      </w:pPr>
      <w:r w:rsidRPr="00C2733C">
        <w:t xml:space="preserve">6. Stewart DE. Clinical practice. Depression during pregnancy. </w:t>
      </w:r>
      <w:r w:rsidRPr="00C2733C">
        <w:rPr>
          <w:i/>
        </w:rPr>
        <w:t>N Engl J Med</w:t>
      </w:r>
      <w:r w:rsidRPr="00C2733C">
        <w:t xml:space="preserve"> 2011;365(17):1605-11. doi: 10.1056/NEJMcp1102730 [doi]</w:t>
      </w:r>
    </w:p>
    <w:p w14:paraId="60D0E871" w14:textId="77777777" w:rsidR="00C2733C" w:rsidRPr="00C2733C" w:rsidRDefault="00C2733C" w:rsidP="00C2733C">
      <w:pPr>
        <w:pStyle w:val="EndNoteBibliography"/>
        <w:spacing w:after="0"/>
        <w:ind w:left="720" w:hanging="720"/>
      </w:pPr>
      <w:r w:rsidRPr="004728BC">
        <w:rPr>
          <w:lang w:val="fr-FR"/>
        </w:rPr>
        <w:t xml:space="preserve">7. Gavin NI, Gaynes BN, Lohr KN, et al. </w:t>
      </w:r>
      <w:r w:rsidRPr="00C2733C">
        <w:t xml:space="preserve">Perinatal depression: a systematic review of prevalence and incidence. </w:t>
      </w:r>
      <w:r w:rsidRPr="00C2733C">
        <w:rPr>
          <w:i/>
        </w:rPr>
        <w:t>Obstet Gynecol</w:t>
      </w:r>
      <w:r w:rsidRPr="00C2733C">
        <w:t xml:space="preserve"> 2005;106(5 Pt 1):1071-83. doi: 10.1097/01.AOG.0000183597.31630.db [published Online First: 2005/11/02]</w:t>
      </w:r>
    </w:p>
    <w:p w14:paraId="03C677A6" w14:textId="77777777" w:rsidR="00C2733C" w:rsidRPr="00C2733C" w:rsidRDefault="00C2733C" w:rsidP="00C2733C">
      <w:pPr>
        <w:pStyle w:val="EndNoteBibliography"/>
        <w:spacing w:after="0"/>
        <w:ind w:left="720" w:hanging="720"/>
      </w:pPr>
      <w:r w:rsidRPr="00C2733C">
        <w:t xml:space="preserve">8. Stein A, Pearson RM, Goodman SH, et al. Effects of perinatal mental disorders on the fetus and child. </w:t>
      </w:r>
      <w:r w:rsidRPr="00C2733C">
        <w:rPr>
          <w:i/>
        </w:rPr>
        <w:t>Lancet</w:t>
      </w:r>
      <w:r w:rsidRPr="00C2733C">
        <w:t xml:space="preserve"> 2014;384(9956):1800-19. doi: S0140-6736(14)61277-0 [pii];10.1016/S0140-6736(14)61277-0 [doi]</w:t>
      </w:r>
    </w:p>
    <w:p w14:paraId="2C124DAE" w14:textId="366AB9DA" w:rsidR="00C2733C" w:rsidRPr="00C2733C" w:rsidRDefault="00C2733C" w:rsidP="00C2733C">
      <w:pPr>
        <w:pStyle w:val="EndNoteBibliography"/>
        <w:spacing w:after="0"/>
        <w:ind w:left="720" w:hanging="720"/>
      </w:pPr>
      <w:r w:rsidRPr="00C2733C">
        <w:t xml:space="preserve">9. Excellence NIfHaC. NICE guidance: Antenatal and postnatal mental health: clinical management and service guidance (CG192). </w:t>
      </w:r>
      <w:r w:rsidRPr="00F030FA">
        <w:rPr>
          <w:i/>
        </w:rPr>
        <w:t>http://guidance</w:t>
      </w:r>
      <w:r w:rsidRPr="00C2733C">
        <w:rPr>
          <w:i/>
        </w:rPr>
        <w:t xml:space="preserve"> nice org uk/CG45</w:t>
      </w:r>
      <w:r w:rsidRPr="00C2733C">
        <w:t xml:space="preserve"> 2014 2014. </w:t>
      </w:r>
      <w:r w:rsidRPr="00F030FA">
        <w:t>https://www.nice.org.uk/guidance/cg192</w:t>
      </w:r>
      <w:r w:rsidRPr="00C2733C">
        <w:t>.</w:t>
      </w:r>
      <w:r w:rsidR="00695454">
        <w:t>Accessed 01/0</w:t>
      </w:r>
      <w:r w:rsidR="0032081B">
        <w:t>2/2022</w:t>
      </w:r>
    </w:p>
    <w:p w14:paraId="043C9D61" w14:textId="77777777" w:rsidR="00C2733C" w:rsidRPr="00C2733C" w:rsidRDefault="00C2733C" w:rsidP="00C2733C">
      <w:pPr>
        <w:pStyle w:val="EndNoteBibliography"/>
        <w:spacing w:after="0"/>
        <w:ind w:left="720" w:hanging="720"/>
      </w:pPr>
      <w:r w:rsidRPr="00C2733C">
        <w:t xml:space="preserve">10. Charlton RA, Jordan S, Pierini A, et al. Selective serotonin reuptake inhibitor prescribing before, during and after pregnancy: a population-based study in six European regions. </w:t>
      </w:r>
      <w:r w:rsidRPr="00C2733C">
        <w:rPr>
          <w:i/>
        </w:rPr>
        <w:t>BJOG</w:t>
      </w:r>
      <w:r w:rsidRPr="00C2733C">
        <w:t xml:space="preserve"> 2015;122(7):1010-20. doi: 10.1111/1471-0528.13143 [published Online First: 2014/10/30]</w:t>
      </w:r>
    </w:p>
    <w:p w14:paraId="34B1D7F3" w14:textId="77777777" w:rsidR="00C2733C" w:rsidRPr="00C2733C" w:rsidRDefault="00C2733C" w:rsidP="00C2733C">
      <w:pPr>
        <w:pStyle w:val="EndNoteBibliography"/>
        <w:spacing w:after="0"/>
        <w:ind w:left="720" w:hanging="720"/>
      </w:pPr>
      <w:r w:rsidRPr="00C2733C">
        <w:t xml:space="preserve">11. Howard LM, Khalifeh H. Perinatal mental health: a review of progress and challenges. </w:t>
      </w:r>
      <w:r w:rsidRPr="00C2733C">
        <w:rPr>
          <w:i/>
        </w:rPr>
        <w:t>World Psychiatry</w:t>
      </w:r>
      <w:r w:rsidRPr="00C2733C">
        <w:t xml:space="preserve"> 2020;19(3):313-27. doi: 10.1002/wps.20769 [published Online First: 2020/09/16]</w:t>
      </w:r>
    </w:p>
    <w:p w14:paraId="30DD1DC9" w14:textId="77777777" w:rsidR="00C2733C" w:rsidRPr="00C2733C" w:rsidRDefault="00C2733C" w:rsidP="00C2733C">
      <w:pPr>
        <w:pStyle w:val="EndNoteBibliography"/>
        <w:spacing w:after="0"/>
        <w:ind w:left="720" w:hanging="720"/>
      </w:pPr>
      <w:r w:rsidRPr="00C2733C">
        <w:t xml:space="preserve">12. Cipriani A, Furukawa TA, Salanti G, et al. Comparative efficacy and acceptability of 21 antidepressant drugs for the acute treatment of adults with major depressive disorder: a systematic review and network meta-analysis. </w:t>
      </w:r>
      <w:r w:rsidRPr="00C2733C">
        <w:rPr>
          <w:i/>
        </w:rPr>
        <w:t>Lancet</w:t>
      </w:r>
      <w:r w:rsidRPr="00C2733C">
        <w:t xml:space="preserve"> 2018;391(10128):1357-66. doi: 10.1016/S0140-6736(17)32802-7 [published Online First: 2018/02/27]</w:t>
      </w:r>
    </w:p>
    <w:p w14:paraId="4F28FA43" w14:textId="77777777" w:rsidR="00C2733C" w:rsidRPr="00C2733C" w:rsidRDefault="00C2733C" w:rsidP="00C2733C">
      <w:pPr>
        <w:pStyle w:val="EndNoteBibliography"/>
        <w:spacing w:after="0"/>
        <w:ind w:left="720" w:hanging="720"/>
      </w:pPr>
      <w:r w:rsidRPr="00C2733C">
        <w:t xml:space="preserve">13. McDonagh MS, Matthews A, Phillipi C, et al. Depression drug treatment outcomes in pregnancy and the postpartum period: a systematic review and meta-analysis. </w:t>
      </w:r>
      <w:r w:rsidRPr="00C2733C">
        <w:rPr>
          <w:i/>
        </w:rPr>
        <w:t>Obstet Gynecol</w:t>
      </w:r>
      <w:r w:rsidRPr="00C2733C">
        <w:t xml:space="preserve"> 2014;124(3):526-34. doi: 10.1097/AOG.0000000000000410 [doi]</w:t>
      </w:r>
    </w:p>
    <w:p w14:paraId="469F724D" w14:textId="77777777" w:rsidR="00C2733C" w:rsidRPr="00C2733C" w:rsidRDefault="00C2733C" w:rsidP="00C2733C">
      <w:pPr>
        <w:pStyle w:val="EndNoteBibliography"/>
        <w:spacing w:after="0"/>
        <w:ind w:left="720" w:hanging="720"/>
      </w:pPr>
      <w:r w:rsidRPr="00C2733C">
        <w:t xml:space="preserve">14. Dawson AL, Ailes EC, Gilboa SM, et al. Antidepressant Prescription Claims Among Reproductive-Aged Women With Private Employer-Sponsored Insurance - United States 2008-2013. </w:t>
      </w:r>
      <w:r w:rsidRPr="00C2733C">
        <w:rPr>
          <w:i/>
        </w:rPr>
        <w:t>MMWR Morb Mortal Wkly Rep</w:t>
      </w:r>
      <w:r w:rsidRPr="00C2733C">
        <w:t xml:space="preserve"> 2016;65(3):41-46. doi: 10.15585/mmwr.mm6503a1 [doi]</w:t>
      </w:r>
    </w:p>
    <w:p w14:paraId="49C6D9BA" w14:textId="77777777" w:rsidR="00C2733C" w:rsidRPr="00C2733C" w:rsidRDefault="00C2733C" w:rsidP="00C2733C">
      <w:pPr>
        <w:pStyle w:val="EndNoteBibliography"/>
        <w:spacing w:after="0"/>
        <w:ind w:left="720" w:hanging="720"/>
      </w:pPr>
      <w:r w:rsidRPr="00C2733C">
        <w:t xml:space="preserve">15. Cohen LS, Altshuler LL, Harlow BL, et al. Relapse of major depression during pregnancy in women who maintain or discontinue antidepressant treatment. </w:t>
      </w:r>
      <w:r w:rsidRPr="00C2733C">
        <w:rPr>
          <w:i/>
        </w:rPr>
        <w:t>JAMA</w:t>
      </w:r>
      <w:r w:rsidRPr="00C2733C">
        <w:t xml:space="preserve"> 2006;295(5):499-507. doi: 295/5/499 [pii];10.1001/jama.295.5.499 [doi]</w:t>
      </w:r>
    </w:p>
    <w:p w14:paraId="220AB897" w14:textId="77777777" w:rsidR="00C2733C" w:rsidRPr="00C2733C" w:rsidRDefault="00C2733C" w:rsidP="00C2733C">
      <w:pPr>
        <w:pStyle w:val="EndNoteBibliography"/>
        <w:spacing w:after="0"/>
        <w:ind w:left="720" w:hanging="720"/>
      </w:pPr>
      <w:r w:rsidRPr="00C2733C">
        <w:t xml:space="preserve">16. Berard A, Sheehy O, Zhao JP, et al. Impact of antidepressant use, discontinuation, and dosage modification on maternal depression during pregnancy. </w:t>
      </w:r>
      <w:r w:rsidRPr="00C2733C">
        <w:rPr>
          <w:i/>
        </w:rPr>
        <w:t>Eur Neuropsychopharmacol</w:t>
      </w:r>
      <w:r w:rsidRPr="00C2733C">
        <w:t xml:space="preserve"> 2019;29(7):803-12. doi: 10.1016/j.euroneuro.2019.06.007 [published Online First: 2019/06/30]</w:t>
      </w:r>
    </w:p>
    <w:p w14:paraId="73FDE696" w14:textId="77777777" w:rsidR="00C2733C" w:rsidRPr="00C2733C" w:rsidRDefault="00C2733C" w:rsidP="00C2733C">
      <w:pPr>
        <w:pStyle w:val="EndNoteBibliography"/>
        <w:spacing w:after="0"/>
        <w:ind w:left="720" w:hanging="720"/>
      </w:pPr>
      <w:r w:rsidRPr="00C2733C">
        <w:t xml:space="preserve">17. Swanson SA, Hernandez-Diaz S, Palmsten K, et al. Methodological considerations in assessing the effectiveness of antidepressant medication continuation during pregnancy using </w:t>
      </w:r>
      <w:r w:rsidRPr="00C2733C">
        <w:lastRenderedPageBreak/>
        <w:t xml:space="preserve">administrative data. </w:t>
      </w:r>
      <w:r w:rsidRPr="00C2733C">
        <w:rPr>
          <w:i/>
        </w:rPr>
        <w:t>Pharmacoepidemiol Drug Saf</w:t>
      </w:r>
      <w:r w:rsidRPr="00C2733C">
        <w:t xml:space="preserve"> 2015;24(9):934-42. doi: 10.1002/pds.3798 [doi]</w:t>
      </w:r>
    </w:p>
    <w:p w14:paraId="5760283D" w14:textId="77777777" w:rsidR="00C2733C" w:rsidRPr="00C2733C" w:rsidRDefault="00C2733C" w:rsidP="00C2733C">
      <w:pPr>
        <w:pStyle w:val="EndNoteBibliography"/>
        <w:spacing w:after="0"/>
        <w:ind w:left="720" w:hanging="720"/>
      </w:pPr>
      <w:r w:rsidRPr="00C2733C">
        <w:t xml:space="preserve">18. Yonkers KA, Gotman N, Smith MV, et al. Does antidepressant use attenuate the risk of a major depressive episode in pregnancy? </w:t>
      </w:r>
      <w:r w:rsidRPr="00C2733C">
        <w:rPr>
          <w:i/>
        </w:rPr>
        <w:t>Epidemiology</w:t>
      </w:r>
      <w:r w:rsidRPr="00C2733C">
        <w:t xml:space="preserve"> 2011;22(6):848-54. doi: 10.1097/EDE.0b013e3182306847 [doi]</w:t>
      </w:r>
    </w:p>
    <w:p w14:paraId="7F428226" w14:textId="77777777" w:rsidR="00C2733C" w:rsidRPr="00C2733C" w:rsidRDefault="00C2733C" w:rsidP="00C2733C">
      <w:pPr>
        <w:pStyle w:val="EndNoteBibliography"/>
        <w:spacing w:after="0"/>
        <w:ind w:left="720" w:hanging="720"/>
      </w:pPr>
      <w:r w:rsidRPr="00C2733C">
        <w:t xml:space="preserve">19. Molenaar NM, Brouwer ME, Bockting CL, et al. Stop or go? Preventive cognitive therapy with guided tapering of antidepressants during pregnancy: study protocol of a pragmatic multicentre non-inferiority randomized controlled trial. </w:t>
      </w:r>
      <w:r w:rsidRPr="00C2733C">
        <w:rPr>
          <w:i/>
        </w:rPr>
        <w:t>BMC Psychiatry</w:t>
      </w:r>
      <w:r w:rsidRPr="00C2733C">
        <w:t xml:space="preserve"> 2016;16:72. doi: 10.1186/s12888-016-0752-6 [published Online First: 2016/03/20]</w:t>
      </w:r>
    </w:p>
    <w:p w14:paraId="24CD1D02" w14:textId="77777777" w:rsidR="00C2733C" w:rsidRPr="00C2733C" w:rsidRDefault="00C2733C" w:rsidP="00C2733C">
      <w:pPr>
        <w:pStyle w:val="EndNoteBibliography"/>
        <w:spacing w:after="0"/>
        <w:ind w:left="720" w:hanging="720"/>
      </w:pPr>
      <w:r w:rsidRPr="00C2733C">
        <w:t xml:space="preserve">20. Molenaar NM, Brouwer ME, Burger H, et al. Preventive Cognitive Therapy With Antidepressant Discontinuation During Pregnancy: Results From a Randomized Controlled Trial. </w:t>
      </w:r>
      <w:r w:rsidRPr="00C2733C">
        <w:rPr>
          <w:i/>
        </w:rPr>
        <w:t>J Clin Psychiatry</w:t>
      </w:r>
      <w:r w:rsidRPr="00C2733C">
        <w:t xml:space="preserve"> 2020;81(4) doi: 10.4088/JCP.19l13099 [published Online First: 2020/07/01]</w:t>
      </w:r>
    </w:p>
    <w:p w14:paraId="476C5920" w14:textId="77777777" w:rsidR="00C2733C" w:rsidRPr="00C2733C" w:rsidRDefault="00C2733C" w:rsidP="00C2733C">
      <w:pPr>
        <w:pStyle w:val="EndNoteBibliography"/>
        <w:spacing w:after="0"/>
        <w:ind w:left="720" w:hanging="720"/>
      </w:pPr>
      <w:r w:rsidRPr="00C2733C">
        <w:t xml:space="preserve">21. Wang S, Yang L, Wang L, et al. Selective Serotonin Reuptake Inhibitors (SSRIs) and the Risk of Congenital Heart Defects: A Meta-Analysis of Prospective Cohort Studies. </w:t>
      </w:r>
      <w:r w:rsidRPr="00C2733C">
        <w:rPr>
          <w:i/>
        </w:rPr>
        <w:t>J Am Heart Assoc</w:t>
      </w:r>
      <w:r w:rsidRPr="00C2733C">
        <w:t xml:space="preserve"> 2015;4(5) doi: JAHA.114.001681 [pii];10.1161/JAHA.114.001681 [doi]</w:t>
      </w:r>
    </w:p>
    <w:p w14:paraId="30373A4D" w14:textId="77777777" w:rsidR="00C2733C" w:rsidRPr="00C2733C" w:rsidRDefault="00C2733C" w:rsidP="00C2733C">
      <w:pPr>
        <w:pStyle w:val="EndNoteBibliography"/>
        <w:spacing w:after="0"/>
        <w:ind w:left="720" w:hanging="720"/>
      </w:pPr>
      <w:r w:rsidRPr="00C2733C">
        <w:t xml:space="preserve">22. Huybrechts KF, Palmsten K, Avorn J, et al. Antidepressant use in pregnancy and the risk of cardiac defects. </w:t>
      </w:r>
      <w:r w:rsidRPr="00C2733C">
        <w:rPr>
          <w:i/>
        </w:rPr>
        <w:t>N Engl J Med</w:t>
      </w:r>
      <w:r w:rsidRPr="00C2733C">
        <w:t xml:space="preserve"> 2014;370(25):2397-407. doi: 10.1056/NEJMoa1312828 [published Online First: 2014/06/19]</w:t>
      </w:r>
    </w:p>
    <w:p w14:paraId="798976FD" w14:textId="77777777" w:rsidR="00C2733C" w:rsidRPr="00C2733C" w:rsidRDefault="00C2733C" w:rsidP="00C2733C">
      <w:pPr>
        <w:pStyle w:val="EndNoteBibliography"/>
        <w:spacing w:after="0"/>
        <w:ind w:left="720" w:hanging="720"/>
      </w:pPr>
      <w:r w:rsidRPr="00C2733C">
        <w:t xml:space="preserve">23. Grigoriadis S, Vonderporten EH, Mamisashvili L, et al. Prenatal exposure to antidepressants and persistent pulmonary hypertension of the newborn: systematic review and meta-analysis. </w:t>
      </w:r>
      <w:r w:rsidRPr="00C2733C">
        <w:rPr>
          <w:i/>
        </w:rPr>
        <w:t>BMJ</w:t>
      </w:r>
      <w:r w:rsidRPr="00C2733C">
        <w:t xml:space="preserve"> 2014;348:f6932.</w:t>
      </w:r>
    </w:p>
    <w:p w14:paraId="02512A0D" w14:textId="77777777" w:rsidR="00C2733C" w:rsidRPr="00C2733C" w:rsidRDefault="00C2733C" w:rsidP="00C2733C">
      <w:pPr>
        <w:pStyle w:val="EndNoteBibliography"/>
        <w:spacing w:after="0"/>
        <w:ind w:left="720" w:hanging="720"/>
      </w:pPr>
      <w:r w:rsidRPr="00C2733C">
        <w:t xml:space="preserve">24. Thompson BL, Levitt P, Stanwood GD. Prenatal exposure to drugs: effects on brain development and implications for policy and education. </w:t>
      </w:r>
      <w:r w:rsidRPr="00C2733C">
        <w:rPr>
          <w:i/>
        </w:rPr>
        <w:t>Nat Rev Neurosci</w:t>
      </w:r>
      <w:r w:rsidRPr="00C2733C">
        <w:t xml:space="preserve"> 2009;10(4):303-12. doi: nrn2598 [pii];10.1038/nrn2598 [doi]</w:t>
      </w:r>
    </w:p>
    <w:p w14:paraId="5977C99C" w14:textId="77777777" w:rsidR="00C2733C" w:rsidRPr="00C2733C" w:rsidRDefault="00C2733C" w:rsidP="00C2733C">
      <w:pPr>
        <w:pStyle w:val="EndNoteBibliography"/>
        <w:spacing w:after="0"/>
        <w:ind w:left="720" w:hanging="720"/>
      </w:pPr>
      <w:r w:rsidRPr="00C2733C">
        <w:t xml:space="preserve">25. Taylor C, Fricker AD, Devi LA, et al. Mechanisms of action of antidepressants: from neurotransmitter systems to signaling pathways. </w:t>
      </w:r>
      <w:r w:rsidRPr="00C2733C">
        <w:rPr>
          <w:i/>
        </w:rPr>
        <w:t>Cell Signal</w:t>
      </w:r>
      <w:r w:rsidRPr="00C2733C">
        <w:t xml:space="preserve"> 2005;17(5):549-57. doi: 10.1016/j.cellsig.2004.12.007 [published Online First: 2005/02/03]</w:t>
      </w:r>
    </w:p>
    <w:p w14:paraId="5BA7B0DE" w14:textId="77777777" w:rsidR="00C2733C" w:rsidRPr="00C2733C" w:rsidRDefault="00C2733C" w:rsidP="00C2733C">
      <w:pPr>
        <w:pStyle w:val="EndNoteBibliography"/>
        <w:spacing w:after="0"/>
        <w:ind w:left="720" w:hanging="720"/>
      </w:pPr>
      <w:r w:rsidRPr="00C2733C">
        <w:t xml:space="preserve">26. Lauder JM, Wallace JA, Krebs H. Roles for serotonin in neuroembryogenesis. </w:t>
      </w:r>
      <w:r w:rsidRPr="00C2733C">
        <w:rPr>
          <w:i/>
        </w:rPr>
        <w:t>Adv Exp Med Biol</w:t>
      </w:r>
      <w:r w:rsidRPr="00C2733C">
        <w:t xml:space="preserve"> 1981;133:477-506.</w:t>
      </w:r>
    </w:p>
    <w:p w14:paraId="6852130B" w14:textId="77777777" w:rsidR="00C2733C" w:rsidRPr="00695454" w:rsidRDefault="00C2733C" w:rsidP="00C2733C">
      <w:pPr>
        <w:pStyle w:val="EndNoteBibliography"/>
        <w:spacing w:after="0"/>
        <w:ind w:left="720" w:hanging="720"/>
        <w:rPr>
          <w:lang w:val="fr-FR"/>
        </w:rPr>
      </w:pPr>
      <w:r w:rsidRPr="00C2733C">
        <w:t xml:space="preserve">27. Ansorge MS, Zhou M, Lira A, et al. Early-life blockade of the 5-HT transporter alters emotional behavior in adult mice. </w:t>
      </w:r>
      <w:r w:rsidRPr="00695454">
        <w:rPr>
          <w:i/>
          <w:lang w:val="fr-FR"/>
        </w:rPr>
        <w:t>Science</w:t>
      </w:r>
      <w:r w:rsidRPr="00695454">
        <w:rPr>
          <w:lang w:val="fr-FR"/>
        </w:rPr>
        <w:t xml:space="preserve"> 2004;306(5697):879-81. doi: 306/5697/879 [pii];10.1126/science.1101678 [doi]</w:t>
      </w:r>
    </w:p>
    <w:p w14:paraId="7AC5BF80" w14:textId="77777777" w:rsidR="00C2733C" w:rsidRPr="00C2733C" w:rsidRDefault="00C2733C" w:rsidP="00C2733C">
      <w:pPr>
        <w:pStyle w:val="EndNoteBibliography"/>
        <w:spacing w:after="0"/>
        <w:ind w:left="720" w:hanging="720"/>
      </w:pPr>
      <w:r w:rsidRPr="00695454">
        <w:rPr>
          <w:lang w:val="fr-FR"/>
        </w:rPr>
        <w:t xml:space="preserve">28. Bonnin A, Torii M, Wang L, et al. </w:t>
      </w:r>
      <w:r w:rsidRPr="00C2733C">
        <w:t xml:space="preserve">Serotonin modulates the response of embryonic thalamocortical axons to netrin-1. </w:t>
      </w:r>
      <w:r w:rsidRPr="00C2733C">
        <w:rPr>
          <w:i/>
        </w:rPr>
        <w:t>Nat Neurosci</w:t>
      </w:r>
      <w:r w:rsidRPr="00C2733C">
        <w:t xml:space="preserve"> 2007;10(5):588-97. doi: nn1896 [pii];10.1038/nn1896 [doi]</w:t>
      </w:r>
    </w:p>
    <w:p w14:paraId="403472DE" w14:textId="77777777" w:rsidR="00C2733C" w:rsidRPr="00C2733C" w:rsidRDefault="00C2733C" w:rsidP="00C2733C">
      <w:pPr>
        <w:pStyle w:val="EndNoteBibliography"/>
        <w:spacing w:after="0"/>
        <w:ind w:left="720" w:hanging="720"/>
      </w:pPr>
      <w:r w:rsidRPr="00C2733C">
        <w:t xml:space="preserve">29. Darling RD, Alzghoul L, Zhang JL, et al. Perinatal Citalopram Exposure Selectively Increases Locus Ceruleus Circuit Function in Male Rats. </w:t>
      </w:r>
      <w:r w:rsidRPr="00C2733C">
        <w:rPr>
          <w:i/>
        </w:rPr>
        <w:t>Journal of Neuroscience</w:t>
      </w:r>
      <w:r w:rsidRPr="00C2733C">
        <w:t xml:space="preserve"> 2011;31(46):16709-15.</w:t>
      </w:r>
    </w:p>
    <w:p w14:paraId="5F23AE9B" w14:textId="77777777" w:rsidR="00C2733C" w:rsidRPr="00C2733C" w:rsidRDefault="00C2733C" w:rsidP="00C2733C">
      <w:pPr>
        <w:pStyle w:val="EndNoteBibliography"/>
        <w:spacing w:after="0"/>
        <w:ind w:left="720" w:hanging="720"/>
      </w:pPr>
      <w:r w:rsidRPr="00C2733C">
        <w:t xml:space="preserve">30. Muller CL, Anacker AM, Veenstra-VanderWeele J. The serotonin system in autism spectrum disorder: From biomarker to animal models. </w:t>
      </w:r>
      <w:r w:rsidRPr="00C2733C">
        <w:rPr>
          <w:i/>
        </w:rPr>
        <w:t>Neuroscience</w:t>
      </w:r>
      <w:r w:rsidRPr="00C2733C">
        <w:t xml:space="preserve"> 2016;321:24-41. doi: S0306-4522(15)00999-9 [pii];10.1016/j.neuroscience.2015.11.010 [doi]</w:t>
      </w:r>
    </w:p>
    <w:p w14:paraId="64F67AFE" w14:textId="77777777" w:rsidR="00C2733C" w:rsidRPr="00C2733C" w:rsidRDefault="00C2733C" w:rsidP="00C2733C">
      <w:pPr>
        <w:pStyle w:val="EndNoteBibliography"/>
        <w:spacing w:after="0"/>
        <w:ind w:left="720" w:hanging="720"/>
      </w:pPr>
      <w:r w:rsidRPr="00C2733C">
        <w:t xml:space="preserve">31. Rodriguez-Porcel F, Green D, Khatri N, et al. Neonatal Exposure of Rats to Antidepressants Affects Behavioral Reactions to Novelty and Social Interactions in a Manner Analogous to Autistic Spectrum Disorders. </w:t>
      </w:r>
      <w:r w:rsidRPr="00C2733C">
        <w:rPr>
          <w:i/>
        </w:rPr>
        <w:t>Anatomical Record-Advances in Integrative Anatomy and Evolutionary Biology</w:t>
      </w:r>
      <w:r w:rsidRPr="00C2733C">
        <w:t xml:space="preserve"> 2011;294(10):1726-35.</w:t>
      </w:r>
    </w:p>
    <w:p w14:paraId="5E8ED144" w14:textId="77777777" w:rsidR="00C2733C" w:rsidRPr="00C2733C" w:rsidRDefault="00C2733C" w:rsidP="00C2733C">
      <w:pPr>
        <w:pStyle w:val="EndNoteBibliography"/>
        <w:spacing w:after="0"/>
        <w:ind w:left="720" w:hanging="720"/>
      </w:pPr>
      <w:r w:rsidRPr="00C2733C">
        <w:t xml:space="preserve">32. Wood ME, Lapane KL, van Gelder M, et al. Making fair comparisons in pregnancy medication safety studies: An overview of advanced methods for confounding control. </w:t>
      </w:r>
      <w:r w:rsidRPr="00C2733C">
        <w:rPr>
          <w:i/>
        </w:rPr>
        <w:t>Pharmacoepidemiol Drug Saf</w:t>
      </w:r>
      <w:r w:rsidRPr="00C2733C">
        <w:t xml:space="preserve"> 2018;27(2):140-47. doi: 10.1002/pds.4336 [published Online First: 2017/10/19]</w:t>
      </w:r>
    </w:p>
    <w:p w14:paraId="4B1A5E06" w14:textId="77777777" w:rsidR="00C2733C" w:rsidRPr="00C2733C" w:rsidRDefault="00C2733C" w:rsidP="00C2733C">
      <w:pPr>
        <w:pStyle w:val="EndNoteBibliography"/>
        <w:spacing w:after="0"/>
        <w:ind w:left="720" w:hanging="720"/>
      </w:pPr>
      <w:r w:rsidRPr="00C2733C">
        <w:t xml:space="preserve">33. Boukhris T, Sheehy O, Mottron L, et al. Antidepressant Use During Pregnancy and the Risk of Autism Spectrum Disorder in Children. </w:t>
      </w:r>
      <w:r w:rsidRPr="00C2733C">
        <w:rPr>
          <w:i/>
        </w:rPr>
        <w:t>JAMA Pediatr</w:t>
      </w:r>
      <w:r w:rsidRPr="00C2733C">
        <w:t xml:space="preserve"> 2016;170(2):117-24. doi: 2476187 [pii];10.1001/jamapediatrics.2015.3356 [doi]</w:t>
      </w:r>
    </w:p>
    <w:p w14:paraId="3555FAA7" w14:textId="77777777" w:rsidR="00C2733C" w:rsidRPr="00C2733C" w:rsidRDefault="00C2733C" w:rsidP="00C2733C">
      <w:pPr>
        <w:pStyle w:val="EndNoteBibliography"/>
        <w:spacing w:after="0"/>
        <w:ind w:left="720" w:hanging="720"/>
      </w:pPr>
      <w:r w:rsidRPr="00C2733C">
        <w:t xml:space="preserve">34. Brown HK, Ray JG, Wilton AS, et al. Association Between Serotonergic Antidepressant Use During Pregnancy and Autism Spectrum Disorder in Children. </w:t>
      </w:r>
      <w:r w:rsidRPr="00C2733C">
        <w:rPr>
          <w:i/>
        </w:rPr>
        <w:t>JAMA</w:t>
      </w:r>
      <w:r w:rsidRPr="00C2733C">
        <w:t xml:space="preserve"> 2017;317(15):1544-52. doi: 10.1001/jama.2017.3415 [published Online First: 2017/04/19]</w:t>
      </w:r>
    </w:p>
    <w:p w14:paraId="6E53B01D" w14:textId="77777777" w:rsidR="00C2733C" w:rsidRPr="00C2733C" w:rsidRDefault="00C2733C" w:rsidP="00C2733C">
      <w:pPr>
        <w:pStyle w:val="EndNoteBibliography"/>
        <w:spacing w:after="0"/>
        <w:ind w:left="720" w:hanging="720"/>
      </w:pPr>
      <w:r w:rsidRPr="00C2733C">
        <w:t xml:space="preserve">35. Croen LA, Grether JK, Yoshida CK, et al. Antidepressant use during pregnancy and childhood autism spectrum disorders. </w:t>
      </w:r>
      <w:r w:rsidRPr="00C2733C">
        <w:rPr>
          <w:i/>
        </w:rPr>
        <w:t>Arch Gen Psychiatry</w:t>
      </w:r>
      <w:r w:rsidRPr="00C2733C">
        <w:t xml:space="preserve"> 2011;68(11):1104-12. doi: archgenpsychiatry.2011.73 [pii];10.1001/archgenpsychiatry.2011.73 [doi]</w:t>
      </w:r>
    </w:p>
    <w:p w14:paraId="299AFAF1" w14:textId="77777777" w:rsidR="00C2733C" w:rsidRPr="00C2733C" w:rsidRDefault="00C2733C" w:rsidP="00C2733C">
      <w:pPr>
        <w:pStyle w:val="EndNoteBibliography"/>
        <w:spacing w:after="0"/>
        <w:ind w:left="720" w:hanging="720"/>
      </w:pPr>
      <w:r w:rsidRPr="00C2733C">
        <w:t xml:space="preserve">36. El MH, White TJ, van der Knaap NJ, et al. Prenatal exposure to selective serotonin reuptake inhibitors and social responsiveness symptoms of autism: population-based study of young children. </w:t>
      </w:r>
      <w:r w:rsidRPr="00C2733C">
        <w:rPr>
          <w:i/>
        </w:rPr>
        <w:t>Br J Psychiatry</w:t>
      </w:r>
      <w:r w:rsidRPr="00C2733C">
        <w:t xml:space="preserve"> 2014;205(2):95-102. doi: bjp.bp.113.127746 [pii];10.1192/bjp.bp.113.127746 [doi]</w:t>
      </w:r>
    </w:p>
    <w:p w14:paraId="5B02876A" w14:textId="77777777" w:rsidR="00C2733C" w:rsidRPr="00C2733C" w:rsidRDefault="00C2733C" w:rsidP="00C2733C">
      <w:pPr>
        <w:pStyle w:val="EndNoteBibliography"/>
        <w:spacing w:after="0"/>
        <w:ind w:left="720" w:hanging="720"/>
      </w:pPr>
      <w:r w:rsidRPr="00C2733C">
        <w:t xml:space="preserve">37. Gidaya NB, Lee BK, Burstyn I, et al. In utero exposure to selective serotonin reuptake inhibitors and risk for autism spectrum disorder. </w:t>
      </w:r>
      <w:r w:rsidRPr="00C2733C">
        <w:rPr>
          <w:i/>
        </w:rPr>
        <w:t>J Autism Dev Disord</w:t>
      </w:r>
      <w:r w:rsidRPr="00C2733C">
        <w:t xml:space="preserve"> 2014;44(10):2558-67. doi: 10.1007/s10803-014-2128-4 [doi]</w:t>
      </w:r>
    </w:p>
    <w:p w14:paraId="31175CDD" w14:textId="77777777" w:rsidR="00C2733C" w:rsidRPr="00C2733C" w:rsidRDefault="00C2733C" w:rsidP="00C2733C">
      <w:pPr>
        <w:pStyle w:val="EndNoteBibliography"/>
        <w:spacing w:after="0"/>
        <w:ind w:left="720" w:hanging="720"/>
      </w:pPr>
      <w:r w:rsidRPr="00C2733C">
        <w:t xml:space="preserve">38. Harrington RA, Lee LC, Crum RM, et al. Prenatal SSRI use and offspring with autism spectrum disorder or developmental delay. </w:t>
      </w:r>
      <w:r w:rsidRPr="00C2733C">
        <w:rPr>
          <w:i/>
        </w:rPr>
        <w:t>Pediatrics</w:t>
      </w:r>
      <w:r w:rsidRPr="00C2733C">
        <w:t xml:space="preserve"> 2014;133(5):e1241-e48. doi: peds.2013-3406 [pii];10.1542/peds.2013-3406 [doi]</w:t>
      </w:r>
    </w:p>
    <w:p w14:paraId="3A0C05FD" w14:textId="77777777" w:rsidR="00C2733C" w:rsidRPr="00C2733C" w:rsidRDefault="00C2733C" w:rsidP="00C2733C">
      <w:pPr>
        <w:pStyle w:val="EndNoteBibliography"/>
        <w:spacing w:after="0"/>
        <w:ind w:left="720" w:hanging="720"/>
      </w:pPr>
      <w:r w:rsidRPr="00C2733C">
        <w:t xml:space="preserve">39. Hviid A, Melbye M, Pasternak B. Use of selective serotonin reuptake inhibitors during pregnancy and risk of autism. </w:t>
      </w:r>
      <w:r w:rsidRPr="00C2733C">
        <w:rPr>
          <w:i/>
        </w:rPr>
        <w:t>N Engl J Med</w:t>
      </w:r>
      <w:r w:rsidRPr="00C2733C">
        <w:t xml:space="preserve"> 2013;369(25):2406-15. doi: 10.1056/NEJMoa1301449 [doi]</w:t>
      </w:r>
    </w:p>
    <w:p w14:paraId="615A51C8" w14:textId="77777777" w:rsidR="00C2733C" w:rsidRPr="00C2733C" w:rsidRDefault="00C2733C" w:rsidP="00C2733C">
      <w:pPr>
        <w:pStyle w:val="EndNoteBibliography"/>
        <w:spacing w:after="0"/>
        <w:ind w:left="720" w:hanging="720"/>
      </w:pPr>
      <w:r w:rsidRPr="00C2733C">
        <w:t xml:space="preserve">40. Kaplan YC, Keskin-Arslan E, Acar S, et al. Prenatal selective serotonin reuptake inhibitor use and the risk of autism spectrum disorder in children: A systematic review and meta-analysis. </w:t>
      </w:r>
      <w:r w:rsidRPr="00C2733C">
        <w:rPr>
          <w:i/>
        </w:rPr>
        <w:t>Reprod Toxicol</w:t>
      </w:r>
      <w:r w:rsidRPr="00C2733C">
        <w:t xml:space="preserve"> 2016;66:31-43. doi: 10.1016/j.reprotox.2016.09.013</w:t>
      </w:r>
    </w:p>
    <w:p w14:paraId="1BCC3056" w14:textId="77777777" w:rsidR="00C2733C" w:rsidRPr="00C2733C" w:rsidRDefault="00C2733C" w:rsidP="00C2733C">
      <w:pPr>
        <w:pStyle w:val="EndNoteBibliography"/>
        <w:spacing w:after="0"/>
        <w:ind w:left="720" w:hanging="720"/>
      </w:pPr>
      <w:r w:rsidRPr="00C2733C">
        <w:t xml:space="preserve">41. Liu X, Agerbo E, Ingstrup KG, et al. Antidepressant use during pregnancy and psychiatric disorders in offspring: Danish nationwide register based cohort study. </w:t>
      </w:r>
      <w:r w:rsidRPr="00C2733C">
        <w:rPr>
          <w:i/>
        </w:rPr>
        <w:t>BMJ</w:t>
      </w:r>
      <w:r w:rsidRPr="00C2733C">
        <w:t xml:space="preserve"> 2017;358:j3668. doi: 10.1136/bmj.j3668 [published Online First: 2017/09/08]</w:t>
      </w:r>
    </w:p>
    <w:p w14:paraId="5E54D936" w14:textId="77777777" w:rsidR="00C2733C" w:rsidRPr="00C2733C" w:rsidRDefault="00C2733C" w:rsidP="00C2733C">
      <w:pPr>
        <w:pStyle w:val="EndNoteBibliography"/>
        <w:spacing w:after="0"/>
        <w:ind w:left="720" w:hanging="720"/>
      </w:pPr>
      <w:r w:rsidRPr="00C2733C">
        <w:t xml:space="preserve">42. Malm H, Brown AS, Gissler M, et al. Gestational Exposure to Selective Serotonin Reuptake Inhibitors and Offspring Psychiatric Disorders: A National Register-Based Study. </w:t>
      </w:r>
      <w:r w:rsidRPr="00C2733C">
        <w:rPr>
          <w:i/>
        </w:rPr>
        <w:t>J Am Acad Child Adolesc Psychiatry</w:t>
      </w:r>
      <w:r w:rsidRPr="00C2733C">
        <w:t xml:space="preserve"> 2016;55(5):359-66. doi: S0890-8567(16)30007-7 [pii];10.1016/j.jaac.2016.02.013 [doi]</w:t>
      </w:r>
    </w:p>
    <w:p w14:paraId="23EE5E16" w14:textId="77777777" w:rsidR="00C2733C" w:rsidRPr="00C2733C" w:rsidRDefault="00C2733C" w:rsidP="00C2733C">
      <w:pPr>
        <w:pStyle w:val="EndNoteBibliography"/>
        <w:spacing w:after="0"/>
        <w:ind w:left="720" w:hanging="720"/>
      </w:pPr>
      <w:r w:rsidRPr="00C2733C">
        <w:t xml:space="preserve">43. Man KK, Tong HH, Wong LY, et al. Exposure to selective serotonin reuptake inhibitors during pregnancy and risk of autism spectrum disorder in children: a systematic review and meta-analysis of observational studies. </w:t>
      </w:r>
      <w:r w:rsidRPr="00C2733C">
        <w:rPr>
          <w:i/>
        </w:rPr>
        <w:t>Neurosci Biobehav Rev</w:t>
      </w:r>
      <w:r w:rsidRPr="00C2733C">
        <w:t xml:space="preserve"> 2015;49:82-89. doi: S0149-7634(14)00324-8 [pii];10.1016/j.neubiorev.2014.11.020 [doi]</w:t>
      </w:r>
    </w:p>
    <w:p w14:paraId="4C0EE9A5" w14:textId="77777777" w:rsidR="00C2733C" w:rsidRPr="00C2733C" w:rsidRDefault="00C2733C" w:rsidP="00C2733C">
      <w:pPr>
        <w:pStyle w:val="EndNoteBibliography"/>
        <w:spacing w:after="0"/>
        <w:ind w:left="720" w:hanging="720"/>
      </w:pPr>
      <w:r w:rsidRPr="00C2733C">
        <w:t xml:space="preserve">44. Petersen I, Evans S, Nazareth I. Prenatal exposure to selective serotonin reuptake inhibitors and autistic symptoms in young children: another red herring? </w:t>
      </w:r>
      <w:r w:rsidRPr="00C2733C">
        <w:rPr>
          <w:i/>
        </w:rPr>
        <w:t>Br J Psychiatry</w:t>
      </w:r>
      <w:r w:rsidRPr="00C2733C">
        <w:t xml:space="preserve"> 2014;205(2):105-06. doi: 205/2/105 [pii];10.1192/bjp.bp.113.141721 [doi]</w:t>
      </w:r>
    </w:p>
    <w:p w14:paraId="2DB1A4C1" w14:textId="77777777" w:rsidR="00C2733C" w:rsidRPr="00695454" w:rsidRDefault="00C2733C" w:rsidP="00C2733C">
      <w:pPr>
        <w:pStyle w:val="EndNoteBibliography"/>
        <w:spacing w:after="0"/>
        <w:ind w:left="720" w:hanging="720"/>
        <w:rPr>
          <w:lang w:val="fr-FR"/>
        </w:rPr>
      </w:pPr>
      <w:r w:rsidRPr="00C2733C">
        <w:t xml:space="preserve">45. Rai D, Lee BK, Dalman C, et al. Parental depression, maternal antidepressant use during pregnancy, and risk of autism spectrum disorders: population based case-control study. </w:t>
      </w:r>
      <w:r w:rsidRPr="00695454">
        <w:rPr>
          <w:i/>
          <w:lang w:val="fr-FR"/>
        </w:rPr>
        <w:t>BMJ</w:t>
      </w:r>
      <w:r w:rsidRPr="00695454">
        <w:rPr>
          <w:lang w:val="fr-FR"/>
        </w:rPr>
        <w:t xml:space="preserve"> 2013;346:f2059.</w:t>
      </w:r>
    </w:p>
    <w:p w14:paraId="0D4F6CA8" w14:textId="77777777" w:rsidR="00C2733C" w:rsidRPr="00C2733C" w:rsidRDefault="00C2733C" w:rsidP="00C2733C">
      <w:pPr>
        <w:pStyle w:val="EndNoteBibliography"/>
        <w:spacing w:after="0"/>
        <w:ind w:left="720" w:hanging="720"/>
      </w:pPr>
      <w:r w:rsidRPr="00695454">
        <w:rPr>
          <w:lang w:val="fr-FR"/>
        </w:rPr>
        <w:t xml:space="preserve">46. Rai D, Lee BK, Dalman C, et al. </w:t>
      </w:r>
      <w:r w:rsidRPr="00C2733C">
        <w:t xml:space="preserve">Antidepressants during pregnancy and autism in offspring: population based cohort study. </w:t>
      </w:r>
      <w:r w:rsidRPr="00C2733C">
        <w:rPr>
          <w:i/>
        </w:rPr>
        <w:t>BMJ</w:t>
      </w:r>
      <w:r w:rsidRPr="00C2733C">
        <w:t xml:space="preserve"> 2017;358:j2811. doi: 10.1136/bmj.j2811 [published Online First: 2017/07/21]</w:t>
      </w:r>
    </w:p>
    <w:p w14:paraId="28CE1B05" w14:textId="77777777" w:rsidR="00C2733C" w:rsidRPr="00C2733C" w:rsidRDefault="00C2733C" w:rsidP="00C2733C">
      <w:pPr>
        <w:pStyle w:val="EndNoteBibliography"/>
        <w:spacing w:after="0"/>
        <w:ind w:left="720" w:hanging="720"/>
      </w:pPr>
      <w:r w:rsidRPr="00C2733C">
        <w:t xml:space="preserve">47. Sorensen MJ, Gronborg TK, Christensen J, et al. Antidepressant exposure in pregnancy and risk of autism spectrum disorders. </w:t>
      </w:r>
      <w:r w:rsidRPr="00C2733C">
        <w:rPr>
          <w:i/>
        </w:rPr>
        <w:t>Clin Epidemiol</w:t>
      </w:r>
      <w:r w:rsidRPr="00C2733C">
        <w:t xml:space="preserve"> 2013;5:449-59. doi: 10.2147/CLEP.S53009 [doi];clep-5-449 [pii]</w:t>
      </w:r>
    </w:p>
    <w:p w14:paraId="4871661C" w14:textId="77777777" w:rsidR="00C2733C" w:rsidRPr="00C2733C" w:rsidRDefault="00C2733C" w:rsidP="00C2733C">
      <w:pPr>
        <w:pStyle w:val="EndNoteBibliography"/>
        <w:spacing w:after="0"/>
        <w:ind w:left="720" w:hanging="720"/>
      </w:pPr>
      <w:r w:rsidRPr="00C2733C">
        <w:t xml:space="preserve">48. Viktorin A, Uher R, Reichenberg A, et al. Autism risk following antidepressant medication during pregnancy. </w:t>
      </w:r>
      <w:r w:rsidRPr="00C2733C">
        <w:rPr>
          <w:i/>
        </w:rPr>
        <w:t>Psychol Med</w:t>
      </w:r>
      <w:r w:rsidRPr="00C2733C">
        <w:t xml:space="preserve"> 2017:1-10. doi: 10.1017/S0033291717001301 [published Online First: 2017/05/23]</w:t>
      </w:r>
    </w:p>
    <w:p w14:paraId="100C6DE8" w14:textId="77777777" w:rsidR="00C2733C" w:rsidRPr="00C2733C" w:rsidRDefault="00C2733C" w:rsidP="00C2733C">
      <w:pPr>
        <w:pStyle w:val="EndNoteBibliography"/>
        <w:spacing w:after="0"/>
        <w:ind w:left="720" w:hanging="720"/>
      </w:pPr>
      <w:r w:rsidRPr="00C2733C">
        <w:t xml:space="preserve">49. Sujan AC, Rickert ME, Oberg AS, et al. Associations of Maternal Antidepressant Use During the First Trimester of Pregnancy With Preterm Birth, Small for Gestational Age, Autism Spectrum Disorder, and Attention-Deficit/Hyperactivity Disorder in Offspring. </w:t>
      </w:r>
      <w:r w:rsidRPr="00C2733C">
        <w:rPr>
          <w:i/>
        </w:rPr>
        <w:t>JAMA</w:t>
      </w:r>
      <w:r w:rsidRPr="00C2733C">
        <w:t xml:space="preserve"> 2017;317(15):1553-62. doi: 10.1001/jama.2017.3413 [published Online First: 2017/04/19]</w:t>
      </w:r>
    </w:p>
    <w:p w14:paraId="6B260680" w14:textId="77777777" w:rsidR="00C2733C" w:rsidRPr="00C2733C" w:rsidRDefault="00C2733C" w:rsidP="00C2733C">
      <w:pPr>
        <w:pStyle w:val="EndNoteBibliography"/>
        <w:spacing w:after="0"/>
        <w:ind w:left="720" w:hanging="720"/>
      </w:pPr>
      <w:r w:rsidRPr="00C2733C">
        <w:t xml:space="preserve">50. Clements CC, Castro VM, Blumenthal SR, et al. Prenatal antidepressant exposure is associated with risk for attention-deficit hyperactivity disorder but not autism spectrum disorder in a large health system. </w:t>
      </w:r>
      <w:r w:rsidRPr="00C2733C">
        <w:rPr>
          <w:i/>
        </w:rPr>
        <w:t>Mol Psychiatry</w:t>
      </w:r>
      <w:r w:rsidRPr="00C2733C">
        <w:t xml:space="preserve"> 2014 doi: mp201490 [pii];10.1038/mp.2014.90 [doi]</w:t>
      </w:r>
    </w:p>
    <w:p w14:paraId="0BDC3592" w14:textId="77777777" w:rsidR="00C2733C" w:rsidRPr="00C2733C" w:rsidRDefault="00C2733C" w:rsidP="00C2733C">
      <w:pPr>
        <w:pStyle w:val="EndNoteBibliography"/>
        <w:spacing w:after="0"/>
        <w:ind w:left="720" w:hanging="720"/>
      </w:pPr>
      <w:r w:rsidRPr="00C2733C">
        <w:t xml:space="preserve">51. Castro VM, Kong SW, Clements CC, et al. Absence of evidence for increase in risk for autism or attention-deficit hyperactivity disorder following antidepressant exposure during pregnancy: a replication study. </w:t>
      </w:r>
      <w:r w:rsidRPr="00C2733C">
        <w:rPr>
          <w:i/>
        </w:rPr>
        <w:t>Transl Psychiatry</w:t>
      </w:r>
      <w:r w:rsidRPr="00C2733C">
        <w:t xml:space="preserve"> 2016;6:e708. doi: tp2015190 [pii];10.1038/tp.2015.190 [doi]</w:t>
      </w:r>
    </w:p>
    <w:p w14:paraId="4898E0D8" w14:textId="77777777" w:rsidR="00C2733C" w:rsidRPr="00C2733C" w:rsidRDefault="00C2733C" w:rsidP="00C2733C">
      <w:pPr>
        <w:pStyle w:val="EndNoteBibliography"/>
        <w:spacing w:after="0"/>
        <w:ind w:left="720" w:hanging="720"/>
      </w:pPr>
      <w:r w:rsidRPr="00C2733C">
        <w:t xml:space="preserve">52. Man KKC, Chan EW, Ip P, et al. Prenatal antidepressant use and risk of attention-deficit/hyperactivity disorder in offspring: population based cohort study. </w:t>
      </w:r>
      <w:r w:rsidRPr="00C2733C">
        <w:rPr>
          <w:i/>
        </w:rPr>
        <w:t>BMJ</w:t>
      </w:r>
      <w:r w:rsidRPr="00C2733C">
        <w:t xml:space="preserve"> 2017;357:j2350. doi: 10.1136/bmj.j2350 [published Online First: 2017/06/02]</w:t>
      </w:r>
    </w:p>
    <w:p w14:paraId="34178180" w14:textId="77777777" w:rsidR="00C2733C" w:rsidRPr="00C2733C" w:rsidRDefault="00C2733C" w:rsidP="00C2733C">
      <w:pPr>
        <w:pStyle w:val="EndNoteBibliography"/>
        <w:spacing w:after="0"/>
        <w:ind w:left="720" w:hanging="720"/>
      </w:pPr>
      <w:r w:rsidRPr="00C2733C">
        <w:t xml:space="preserve">53. Uguz F. Maternal Antidepressant Use During Pregnancy and the Risk of Attention-Deficit/Hyperactivity Disorder in Children: A Systematic Review of the Current Literature. </w:t>
      </w:r>
      <w:r w:rsidRPr="00C2733C">
        <w:rPr>
          <w:i/>
        </w:rPr>
        <w:t>J Clin Psychopharmacol</w:t>
      </w:r>
      <w:r w:rsidRPr="00C2733C">
        <w:t xml:space="preserve"> 2018;38(3):254-59. doi: 10.1097/JCP.0000000000000868 [published Online First: 2018/03/30]</w:t>
      </w:r>
    </w:p>
    <w:p w14:paraId="291E2E1C" w14:textId="77777777" w:rsidR="00C2733C" w:rsidRPr="00C2733C" w:rsidRDefault="00C2733C" w:rsidP="00C2733C">
      <w:pPr>
        <w:pStyle w:val="EndNoteBibliography"/>
        <w:spacing w:after="0"/>
        <w:ind w:left="720" w:hanging="720"/>
      </w:pPr>
      <w:r w:rsidRPr="00C2733C">
        <w:t xml:space="preserve">54. Viktorin A, Uher R, Kolevzon A, et al. Association of Antidepressant Medication Use During Pregnancy With Intellectual Disability in Offspring. </w:t>
      </w:r>
      <w:r w:rsidRPr="00C2733C">
        <w:rPr>
          <w:i/>
        </w:rPr>
        <w:t>JAMA Psychiatry</w:t>
      </w:r>
      <w:r w:rsidRPr="00C2733C">
        <w:t xml:space="preserve"> 2017 doi: 10.1001/jamapsychiatry.2017.1727 [published Online First: 2017/07/13]</w:t>
      </w:r>
    </w:p>
    <w:p w14:paraId="6F88DBC8" w14:textId="77777777" w:rsidR="00C2733C" w:rsidRPr="00C2733C" w:rsidRDefault="00C2733C" w:rsidP="00C2733C">
      <w:pPr>
        <w:pStyle w:val="EndNoteBibliography"/>
        <w:spacing w:after="0"/>
        <w:ind w:left="720" w:hanging="720"/>
      </w:pPr>
      <w:r w:rsidRPr="00C2733C">
        <w:t xml:space="preserve">55. Brandon AR, Shivakumar G, Inrig SJ, et al. Ethical Challenges in Designing, Conducting, and Reporting Research to Improve the Mental Health of Pregnant Women: The Voices of Investigators and IRB Members. </w:t>
      </w:r>
      <w:r w:rsidRPr="00C2733C">
        <w:rPr>
          <w:i/>
        </w:rPr>
        <w:t>AJOB Empirical Bioethics</w:t>
      </w:r>
      <w:r w:rsidRPr="00C2733C">
        <w:t xml:space="preserve"> 2014;5(2):25-43. doi: 10.1080/23294515.2013.851128</w:t>
      </w:r>
    </w:p>
    <w:p w14:paraId="08A8E970" w14:textId="77777777" w:rsidR="00C2733C" w:rsidRPr="00C2733C" w:rsidRDefault="00C2733C" w:rsidP="00C2733C">
      <w:pPr>
        <w:pStyle w:val="EndNoteBibliography"/>
        <w:spacing w:after="0"/>
        <w:ind w:left="720" w:hanging="720"/>
      </w:pPr>
      <w:r w:rsidRPr="00C2733C">
        <w:t xml:space="preserve">56. Hernan MA, Robins JM. Using Big Data to Emulate a Target Trial When a Randomized Trial Is Not Available. </w:t>
      </w:r>
      <w:r w:rsidRPr="00C2733C">
        <w:rPr>
          <w:i/>
        </w:rPr>
        <w:t>Am J Epidemiol</w:t>
      </w:r>
      <w:r w:rsidRPr="00C2733C">
        <w:t xml:space="preserve"> 2016;183(8):758-64. doi: 10.1093/aje/kwv254 [published Online First: 2016/03/20]</w:t>
      </w:r>
    </w:p>
    <w:p w14:paraId="2D2E35EC" w14:textId="77777777" w:rsidR="00C2733C" w:rsidRPr="00C2733C" w:rsidRDefault="00C2733C" w:rsidP="00C2733C">
      <w:pPr>
        <w:pStyle w:val="EndNoteBibliography"/>
        <w:spacing w:after="0"/>
        <w:ind w:left="720" w:hanging="720"/>
      </w:pPr>
      <w:r w:rsidRPr="00C2733C">
        <w:t xml:space="preserve">57. Herrett E, Gallagher AM, Bhaskaran K, et al. Data Resource Profile: Clinical Practice Research Datalink (CPRD). </w:t>
      </w:r>
      <w:r w:rsidRPr="00C2733C">
        <w:rPr>
          <w:i/>
        </w:rPr>
        <w:t>Int J Epidemiol</w:t>
      </w:r>
      <w:r w:rsidRPr="00C2733C">
        <w:t xml:space="preserve"> 2015;44(3):827-36. doi: 10.1093/ije/dyv098 [published Online First: 2015/06/08]</w:t>
      </w:r>
    </w:p>
    <w:p w14:paraId="65915C6C" w14:textId="77777777" w:rsidR="00C2733C" w:rsidRPr="00C2733C" w:rsidRDefault="00C2733C" w:rsidP="00C2733C">
      <w:pPr>
        <w:pStyle w:val="EndNoteBibliography"/>
        <w:spacing w:after="0"/>
        <w:ind w:left="720" w:hanging="720"/>
      </w:pPr>
      <w:r w:rsidRPr="00C2733C">
        <w:t xml:space="preserve">58. Minassian C, Williams R, Meeraus WH, et al. Methods to generate and validate a Pregnancy Register in the UK Clinical Practice Research Datalink primary care database. </w:t>
      </w:r>
      <w:r w:rsidRPr="00C2733C">
        <w:rPr>
          <w:i/>
        </w:rPr>
        <w:t>Pharmacoepidemiol Drug Saf</w:t>
      </w:r>
      <w:r w:rsidRPr="00C2733C">
        <w:t xml:space="preserve"> 2019;28(7):923-33. doi: 10.1002/pds.4811 [published Online First: 2019/06/15]</w:t>
      </w:r>
    </w:p>
    <w:p w14:paraId="0A64CC79" w14:textId="4F6BAD11" w:rsidR="00C2733C" w:rsidRPr="00C2733C" w:rsidRDefault="00C2733C" w:rsidP="00C2733C">
      <w:pPr>
        <w:pStyle w:val="EndNoteBibliography"/>
        <w:spacing w:after="0"/>
        <w:ind w:left="720" w:hanging="720"/>
      </w:pPr>
      <w:r w:rsidRPr="00C2733C">
        <w:t xml:space="preserve">59. CPRD Mother Baby Link Documentation V1.2 2017 [Available from: </w:t>
      </w:r>
      <w:r w:rsidRPr="00F030FA">
        <w:t>https://www.cprd.com/sites/default/files/MotherBabyLink_Documentation_v1.2.pdf</w:t>
      </w:r>
      <w:r w:rsidRPr="00C2733C">
        <w:t>.</w:t>
      </w:r>
      <w:r w:rsidR="004728BC">
        <w:t>Accessed 01/02/2022</w:t>
      </w:r>
    </w:p>
    <w:p w14:paraId="2229F425" w14:textId="77777777" w:rsidR="00C2733C" w:rsidRPr="00C2733C" w:rsidRDefault="00C2733C" w:rsidP="00C2733C">
      <w:pPr>
        <w:pStyle w:val="EndNoteBibliography"/>
        <w:spacing w:after="0"/>
        <w:ind w:left="720" w:hanging="720"/>
      </w:pPr>
      <w:r w:rsidRPr="00C2733C">
        <w:t xml:space="preserve">60. Hagberg KW, Jick SS. Validation of autism spectrum disorder diagnoses recorded in the Clinical Practice Research Datalink, 1990-2014. </w:t>
      </w:r>
      <w:r w:rsidRPr="00C2733C">
        <w:rPr>
          <w:i/>
        </w:rPr>
        <w:t>Clin Epidemiol</w:t>
      </w:r>
      <w:r w:rsidRPr="00C2733C">
        <w:t xml:space="preserve"> 2017;9:475-82. doi: 10.2147/CLEP.S139107 [published Online First: 2017/10/06]</w:t>
      </w:r>
    </w:p>
    <w:p w14:paraId="3A2EE5FB" w14:textId="04BED79A" w:rsidR="00C2733C" w:rsidRPr="00C2733C" w:rsidRDefault="00C2733C" w:rsidP="00C2733C">
      <w:pPr>
        <w:pStyle w:val="EndNoteBibliography"/>
        <w:spacing w:after="0"/>
        <w:ind w:left="720" w:hanging="720"/>
      </w:pPr>
      <w:r w:rsidRPr="00C2733C">
        <w:t xml:space="preserve">61. CPRD. Hospital Episode Statistics (HES) Outpatient Care and CPRD primary care data Documentation (set 18) 2019 [Available from: </w:t>
      </w:r>
      <w:r w:rsidRPr="00F030FA">
        <w:t>https://www.cprd.com/sites/default/files/Documentation_HES_OP_set18_v1.9.pdf</w:t>
      </w:r>
      <w:r w:rsidRPr="00C2733C">
        <w:t>.</w:t>
      </w:r>
      <w:r w:rsidR="004728BC" w:rsidRPr="004728BC">
        <w:t xml:space="preserve"> </w:t>
      </w:r>
      <w:r w:rsidR="004728BC">
        <w:t>Accessed 01/02/2022</w:t>
      </w:r>
    </w:p>
    <w:p w14:paraId="562090BA" w14:textId="77777777" w:rsidR="00C2733C" w:rsidRPr="00C2733C" w:rsidRDefault="00C2733C" w:rsidP="00C2733C">
      <w:pPr>
        <w:pStyle w:val="EndNoteBibliography"/>
        <w:spacing w:after="0"/>
        <w:ind w:left="720" w:hanging="720"/>
      </w:pPr>
      <w:r w:rsidRPr="00C2733C">
        <w:t>62. Carey IM, Hosking FJ, Harris T, et al. An evaluation of the effectiveness of annual health checks and quality of health care for adults with intellectual disability: an observational study using a primary care database. Southampton (UK)2017.</w:t>
      </w:r>
    </w:p>
    <w:p w14:paraId="13D5D94D" w14:textId="77777777" w:rsidR="00C2733C" w:rsidRPr="00C2733C" w:rsidRDefault="00C2733C" w:rsidP="00C2733C">
      <w:pPr>
        <w:pStyle w:val="EndNoteBibliography"/>
        <w:spacing w:after="0"/>
        <w:ind w:left="720" w:hanging="720"/>
      </w:pPr>
      <w:r w:rsidRPr="00C2733C">
        <w:t xml:space="preserve">63. Sheehan R, Hassiotis A, Walters K, et al. Mental illness, challenging behaviour, and psychotropic drug prescribing in people with intellectual disability: UK population based cohort study. </w:t>
      </w:r>
      <w:r w:rsidRPr="00C2733C">
        <w:rPr>
          <w:i/>
        </w:rPr>
        <w:t>BMJ</w:t>
      </w:r>
      <w:r w:rsidRPr="00C2733C">
        <w:t xml:space="preserve"> 2015;351:h4326.</w:t>
      </w:r>
    </w:p>
    <w:p w14:paraId="48F86EF8" w14:textId="77777777" w:rsidR="00C2733C" w:rsidRPr="00C2733C" w:rsidRDefault="00C2733C" w:rsidP="00C2733C">
      <w:pPr>
        <w:pStyle w:val="EndNoteBibliography"/>
        <w:spacing w:after="0"/>
        <w:ind w:left="720" w:hanging="720"/>
      </w:pPr>
      <w:r w:rsidRPr="00C2733C">
        <w:t xml:space="preserve">64. Newlove-Delgado T, Hamilton W, Ford TJ, et al. Prescribing for young people with attention deficit hyperactivity disorder in UK primary care: analysis of data from the Clinical Practice Research Datalink. </w:t>
      </w:r>
      <w:r w:rsidRPr="00C2733C">
        <w:rPr>
          <w:i/>
        </w:rPr>
        <w:t>Atten Defic Hyperact Disord</w:t>
      </w:r>
      <w:r w:rsidRPr="00C2733C">
        <w:t xml:space="preserve"> 2019;11(3):255-62. doi: 10.1007/s12402-019-00288-6 [published Online First: 2019/02/08]</w:t>
      </w:r>
    </w:p>
    <w:p w14:paraId="73CFD19D" w14:textId="77777777" w:rsidR="00C2733C" w:rsidRPr="00C2733C" w:rsidRDefault="00C2733C" w:rsidP="00C2733C">
      <w:pPr>
        <w:pStyle w:val="EndNoteBibliography"/>
        <w:spacing w:after="0"/>
        <w:ind w:left="720" w:hanging="720"/>
      </w:pPr>
      <w:r w:rsidRPr="00C2733C">
        <w:t xml:space="preserve">65. Quan H, Li B, Couris CM, et al. Updating and validating the Charlson comorbidity index and score for risk adjustment in hospital discharge abstracts using data from 6 countries. </w:t>
      </w:r>
      <w:r w:rsidRPr="00C2733C">
        <w:rPr>
          <w:i/>
        </w:rPr>
        <w:t>Am J Epidemiol</w:t>
      </w:r>
      <w:r w:rsidRPr="00C2733C">
        <w:t xml:space="preserve"> 2011;173(6):676-82. doi: kwq433 [pii];10.1093/aje/kwq433 [doi]</w:t>
      </w:r>
    </w:p>
    <w:p w14:paraId="326F8CCB" w14:textId="77777777" w:rsidR="00C2733C" w:rsidRPr="00C2733C" w:rsidRDefault="00C2733C" w:rsidP="00C2733C">
      <w:pPr>
        <w:pStyle w:val="EndNoteBibliography"/>
        <w:spacing w:after="0"/>
        <w:ind w:left="720" w:hanging="720"/>
      </w:pPr>
      <w:r w:rsidRPr="00C2733C">
        <w:t xml:space="preserve">66. Rosenbaum PR, Rubin DB. Constructing A Control-Group Using Multivariate Matched Sampling Methods That Incorporate the Propensity Score. </w:t>
      </w:r>
      <w:r w:rsidRPr="00C2733C">
        <w:rPr>
          <w:i/>
        </w:rPr>
        <w:t>American Statistician</w:t>
      </w:r>
      <w:r w:rsidRPr="00C2733C">
        <w:t xml:space="preserve"> 1985;39(1):33-38.</w:t>
      </w:r>
    </w:p>
    <w:p w14:paraId="4EEA7F13" w14:textId="77777777" w:rsidR="00C2733C" w:rsidRPr="00C2733C" w:rsidRDefault="00C2733C" w:rsidP="00C2733C">
      <w:pPr>
        <w:pStyle w:val="EndNoteBibliography"/>
        <w:spacing w:after="0"/>
        <w:ind w:left="720" w:hanging="720"/>
      </w:pPr>
      <w:r w:rsidRPr="00C2733C">
        <w:t xml:space="preserve">67. Lee BK, Lessler J, Stuart EA. Improving propensity score weighting using machine learning. </w:t>
      </w:r>
      <w:r w:rsidRPr="00C2733C">
        <w:rPr>
          <w:i/>
        </w:rPr>
        <w:t>Stat Med</w:t>
      </w:r>
      <w:r w:rsidRPr="00C2733C">
        <w:t xml:space="preserve"> 2010;29(3):337-46. doi: 10.1002/sim.3782 [doi]</w:t>
      </w:r>
    </w:p>
    <w:p w14:paraId="0E7DB2F2" w14:textId="77777777" w:rsidR="00C2733C" w:rsidRPr="00C2733C" w:rsidRDefault="00C2733C" w:rsidP="00C2733C">
      <w:pPr>
        <w:pStyle w:val="EndNoteBibliography"/>
        <w:spacing w:after="0"/>
        <w:ind w:left="720" w:hanging="720"/>
      </w:pPr>
      <w:r w:rsidRPr="00C2733C">
        <w:t xml:space="preserve">68. Hernan MA, Robins JM. Instruments for causal inference: an epidemiologist's dream? </w:t>
      </w:r>
      <w:r w:rsidRPr="00C2733C">
        <w:rPr>
          <w:i/>
        </w:rPr>
        <w:t>Epidemiology</w:t>
      </w:r>
      <w:r w:rsidRPr="00C2733C">
        <w:t xml:space="preserve"> 2006;17(4):360-72. doi: 10.1097/01.ede.0000222409.00878.37 [doi]</w:t>
      </w:r>
    </w:p>
    <w:p w14:paraId="2103E8B7" w14:textId="77777777" w:rsidR="00C2733C" w:rsidRPr="00C2733C" w:rsidRDefault="00C2733C" w:rsidP="00C2733C">
      <w:pPr>
        <w:pStyle w:val="EndNoteBibliography"/>
        <w:spacing w:after="0"/>
        <w:ind w:left="720" w:hanging="720"/>
      </w:pPr>
      <w:r w:rsidRPr="00C2733C">
        <w:t xml:space="preserve">69. Davies NM, Gunnell D, Thomas KH, et al. Physicians' prescribing preferences were a potential instrument for patients' actual prescriptions of antidepressants. </w:t>
      </w:r>
      <w:r w:rsidRPr="00C2733C">
        <w:rPr>
          <w:i/>
        </w:rPr>
        <w:t>J Clin Epidemiol</w:t>
      </w:r>
      <w:r w:rsidRPr="00C2733C">
        <w:t xml:space="preserve"> 2013;66(12):1386-96. doi: S0895-4356(13)00249-7 [pii];10.1016/j.jclinepi.2013.06.008 [doi]</w:t>
      </w:r>
    </w:p>
    <w:p w14:paraId="01E891D8" w14:textId="77777777" w:rsidR="00C2733C" w:rsidRPr="00C2733C" w:rsidRDefault="00C2733C" w:rsidP="00C2733C">
      <w:pPr>
        <w:pStyle w:val="EndNoteBibliography"/>
        <w:spacing w:after="0"/>
        <w:ind w:left="720" w:hanging="720"/>
      </w:pPr>
      <w:r w:rsidRPr="00C2733C">
        <w:t xml:space="preserve">70. Frisell T, Oberg S, Kuja-Halkola R, et al. Sibling comparison designs: bias from non-shared confounders and measurement error. </w:t>
      </w:r>
      <w:r w:rsidRPr="00C2733C">
        <w:rPr>
          <w:i/>
        </w:rPr>
        <w:t>Epidemiology</w:t>
      </w:r>
      <w:r w:rsidRPr="00C2733C">
        <w:t xml:space="preserve"> 2012;23(5):713-20. doi: 10.1097/EDE.0b013e31825fa230 [doi]</w:t>
      </w:r>
    </w:p>
    <w:p w14:paraId="0B83C9B0" w14:textId="77777777" w:rsidR="00C2733C" w:rsidRPr="00C2733C" w:rsidRDefault="00C2733C" w:rsidP="00C2733C">
      <w:pPr>
        <w:pStyle w:val="EndNoteBibliography"/>
        <w:spacing w:after="0"/>
        <w:ind w:left="720" w:hanging="720"/>
      </w:pPr>
      <w:r w:rsidRPr="00C2733C">
        <w:t xml:space="preserve">71. Susser E, Eide MG, Begg M. Invited commentary: The use of sibship studies to detect familial confounding. </w:t>
      </w:r>
      <w:r w:rsidRPr="00C2733C">
        <w:rPr>
          <w:i/>
        </w:rPr>
        <w:t>Am J Epidemiol</w:t>
      </w:r>
      <w:r w:rsidRPr="00C2733C">
        <w:t xml:space="preserve"> 2010;172(5):537-39. doi: kwq196 [pii];10.1093/aje/kwq196 [doi]</w:t>
      </w:r>
    </w:p>
    <w:p w14:paraId="6257D97B" w14:textId="77777777" w:rsidR="00C2733C" w:rsidRPr="00C2733C" w:rsidRDefault="00C2733C" w:rsidP="00C2733C">
      <w:pPr>
        <w:pStyle w:val="EndNoteBibliography"/>
        <w:spacing w:after="0"/>
        <w:ind w:left="720" w:hanging="720"/>
      </w:pPr>
      <w:r w:rsidRPr="00C2733C">
        <w:t xml:space="preserve">72. Lawlor DA, Tilling K, Davey Smith G. Triangulation in aetiological epidemiology. </w:t>
      </w:r>
      <w:r w:rsidRPr="00C2733C">
        <w:rPr>
          <w:i/>
        </w:rPr>
        <w:t>Int J Epidemiol</w:t>
      </w:r>
      <w:r w:rsidRPr="00C2733C">
        <w:t xml:space="preserve"> 2016;45(6):1866-86. doi: 10.1093/ije/dyw314 [published Online First: 2017/01/22]</w:t>
      </w:r>
    </w:p>
    <w:p w14:paraId="6BBD20EA" w14:textId="77777777" w:rsidR="00C2733C" w:rsidRPr="00C2733C" w:rsidRDefault="00C2733C" w:rsidP="00C2733C">
      <w:pPr>
        <w:pStyle w:val="EndNoteBibliography"/>
        <w:spacing w:after="0"/>
        <w:ind w:left="720" w:hanging="720"/>
      </w:pPr>
      <w:r w:rsidRPr="00C2733C">
        <w:t xml:space="preserve">73. Jackson JW, Swanson SA. Toward a clearer portrayal of confounding bias in instrumental variable applications. </w:t>
      </w:r>
      <w:r w:rsidRPr="00C2733C">
        <w:rPr>
          <w:i/>
        </w:rPr>
        <w:t>Epidemiology</w:t>
      </w:r>
      <w:r w:rsidRPr="00C2733C">
        <w:t xml:space="preserve"> 2015;26(4):498-504. doi: 10.1097/EDE.0000000000000287 [published Online First: 2015/05/16]</w:t>
      </w:r>
    </w:p>
    <w:p w14:paraId="48B5E03B" w14:textId="77777777" w:rsidR="00C2733C" w:rsidRPr="00695454" w:rsidRDefault="00C2733C" w:rsidP="00C2733C">
      <w:pPr>
        <w:pStyle w:val="EndNoteBibliography"/>
        <w:spacing w:after="0"/>
        <w:ind w:left="720" w:hanging="720"/>
        <w:rPr>
          <w:lang w:val="pt-BR"/>
        </w:rPr>
      </w:pPr>
      <w:r w:rsidRPr="00C2733C">
        <w:t xml:space="preserve">74. Smith GD. Negative control exposures in epidemiologic studies. </w:t>
      </w:r>
      <w:r w:rsidRPr="00695454">
        <w:rPr>
          <w:i/>
          <w:lang w:val="pt-BR"/>
        </w:rPr>
        <w:t>Epidemiology</w:t>
      </w:r>
      <w:r w:rsidRPr="00695454">
        <w:rPr>
          <w:lang w:val="pt-BR"/>
        </w:rPr>
        <w:t xml:space="preserve"> 2012;23(2):350-51. doi: 10.1097/EDE.0b013e318245912c [doi];00001648-201203000-00027 [pii]</w:t>
      </w:r>
    </w:p>
    <w:p w14:paraId="351993E9" w14:textId="2F3D363F" w:rsidR="00ED3E45" w:rsidRPr="00F030FA" w:rsidRDefault="00C2733C" w:rsidP="00F030FA">
      <w:pPr>
        <w:pStyle w:val="EndNoteBibliography"/>
        <w:ind w:left="720" w:hanging="720"/>
      </w:pPr>
      <w:r w:rsidRPr="00695454">
        <w:rPr>
          <w:lang w:val="pt-BR"/>
        </w:rPr>
        <w:t xml:space="preserve">75. Carreira H, Williams R, Strongman H, et al. </w:t>
      </w:r>
      <w:r w:rsidRPr="00C2733C">
        <w:t xml:space="preserve">Identification of mental health and quality of life outcomes in primary care databases in the UK: a systematic review. </w:t>
      </w:r>
      <w:r w:rsidRPr="00C2733C">
        <w:rPr>
          <w:i/>
        </w:rPr>
        <w:t>BMJ Open</w:t>
      </w:r>
      <w:r w:rsidRPr="00C2733C">
        <w:t xml:space="preserve"> 2019;9(7):e029227. doi: 10.1136/bmjopen-2019-029227 [published Online First: 2019/07/05]</w:t>
      </w:r>
    </w:p>
    <w:sectPr w:rsidR="00ED3E45" w:rsidRPr="00F030FA" w:rsidSect="00CC1A0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8905B" w14:textId="77777777" w:rsidR="008619D5" w:rsidRDefault="008619D5" w:rsidP="00A97C4E">
      <w:pPr>
        <w:spacing w:after="0" w:line="240" w:lineRule="auto"/>
      </w:pPr>
      <w:r>
        <w:separator/>
      </w:r>
    </w:p>
  </w:endnote>
  <w:endnote w:type="continuationSeparator" w:id="0">
    <w:p w14:paraId="59241C9B" w14:textId="77777777" w:rsidR="008619D5" w:rsidRDefault="008619D5" w:rsidP="00A97C4E">
      <w:pPr>
        <w:spacing w:after="0" w:line="240" w:lineRule="auto"/>
      </w:pPr>
      <w:r>
        <w:continuationSeparator/>
      </w:r>
    </w:p>
  </w:endnote>
  <w:endnote w:type="continuationNotice" w:id="1">
    <w:p w14:paraId="5D4F8663" w14:textId="77777777" w:rsidR="008619D5" w:rsidRDefault="00861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IDFont+F7">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554C5" w14:textId="77777777" w:rsidR="002C443D" w:rsidRDefault="002C4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540125"/>
      <w:docPartObj>
        <w:docPartGallery w:val="Page Numbers (Bottom of Page)"/>
        <w:docPartUnique/>
      </w:docPartObj>
    </w:sdtPr>
    <w:sdtEndPr>
      <w:rPr>
        <w:noProof/>
      </w:rPr>
    </w:sdtEndPr>
    <w:sdtContent>
      <w:p w14:paraId="2D7A2666" w14:textId="5C1EED3F" w:rsidR="00B71608" w:rsidRDefault="00B7160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3B38E5" w14:textId="77777777" w:rsidR="002C443D" w:rsidRDefault="002C4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3D60" w14:textId="77777777" w:rsidR="002C443D" w:rsidRDefault="002C4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F815" w14:textId="77777777" w:rsidR="008619D5" w:rsidRDefault="008619D5" w:rsidP="00A97C4E">
      <w:pPr>
        <w:spacing w:after="0" w:line="240" w:lineRule="auto"/>
      </w:pPr>
      <w:r>
        <w:separator/>
      </w:r>
    </w:p>
  </w:footnote>
  <w:footnote w:type="continuationSeparator" w:id="0">
    <w:p w14:paraId="44C97B34" w14:textId="77777777" w:rsidR="008619D5" w:rsidRDefault="008619D5" w:rsidP="00A97C4E">
      <w:pPr>
        <w:spacing w:after="0" w:line="240" w:lineRule="auto"/>
      </w:pPr>
      <w:r>
        <w:continuationSeparator/>
      </w:r>
    </w:p>
  </w:footnote>
  <w:footnote w:type="continuationNotice" w:id="1">
    <w:p w14:paraId="09CFF54C" w14:textId="77777777" w:rsidR="008619D5" w:rsidRDefault="008619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6B60" w14:textId="77777777" w:rsidR="002C443D" w:rsidRDefault="002C4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24D5" w14:textId="77777777" w:rsidR="002C443D" w:rsidRDefault="002C4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19DDB" w14:textId="77777777" w:rsidR="002C443D" w:rsidRDefault="002C4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316E"/>
    <w:multiLevelType w:val="hybridMultilevel"/>
    <w:tmpl w:val="05607C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A5964"/>
    <w:multiLevelType w:val="hybridMultilevel"/>
    <w:tmpl w:val="29B46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A5305"/>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9189F"/>
    <w:multiLevelType w:val="hybridMultilevel"/>
    <w:tmpl w:val="A6103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3898"/>
    <w:multiLevelType w:val="hybridMultilevel"/>
    <w:tmpl w:val="D36A0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C0E9C"/>
    <w:multiLevelType w:val="hybridMultilevel"/>
    <w:tmpl w:val="A950E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F419C"/>
    <w:multiLevelType w:val="hybridMultilevel"/>
    <w:tmpl w:val="95F45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C0E2C"/>
    <w:multiLevelType w:val="multilevel"/>
    <w:tmpl w:val="CBC4D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C906F3"/>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B4C5E"/>
    <w:multiLevelType w:val="hybridMultilevel"/>
    <w:tmpl w:val="CDFCC0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AB6D47"/>
    <w:multiLevelType w:val="hybridMultilevel"/>
    <w:tmpl w:val="669623F2"/>
    <w:lvl w:ilvl="0" w:tplc="BB7ADF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13629E"/>
    <w:multiLevelType w:val="hybridMultilevel"/>
    <w:tmpl w:val="0D26F002"/>
    <w:lvl w:ilvl="0" w:tplc="CA780A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D36B19"/>
    <w:multiLevelType w:val="hybridMultilevel"/>
    <w:tmpl w:val="4ED25336"/>
    <w:lvl w:ilvl="0" w:tplc="8256B4C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D5F5F"/>
    <w:multiLevelType w:val="hybridMultilevel"/>
    <w:tmpl w:val="247E5CC8"/>
    <w:lvl w:ilvl="0" w:tplc="0470AE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D22AF3"/>
    <w:multiLevelType w:val="hybridMultilevel"/>
    <w:tmpl w:val="47DC5018"/>
    <w:lvl w:ilvl="0" w:tplc="3C806D06">
      <w:start w:val="1"/>
      <w:numFmt w:val="lowerRoman"/>
      <w:lvlText w:val="(%1)"/>
      <w:lvlJc w:val="left"/>
      <w:pPr>
        <w:ind w:left="720" w:hanging="360"/>
      </w:pPr>
      <w:rPr>
        <w:rFonts w:asciiTheme="majorHAnsi" w:eastAsiaTheme="minorHAnsi" w:hAnsiTheme="maj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AC41C7"/>
    <w:multiLevelType w:val="hybridMultilevel"/>
    <w:tmpl w:val="6D10871A"/>
    <w:lvl w:ilvl="0" w:tplc="278688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1B47BF"/>
    <w:multiLevelType w:val="multilevel"/>
    <w:tmpl w:val="61EC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2E5DAB"/>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A1A39"/>
    <w:multiLevelType w:val="hybridMultilevel"/>
    <w:tmpl w:val="4272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B566DA"/>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612402"/>
    <w:multiLevelType w:val="hybridMultilevel"/>
    <w:tmpl w:val="824AB75C"/>
    <w:lvl w:ilvl="0" w:tplc="66F07B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DF5FE5"/>
    <w:multiLevelType w:val="multilevel"/>
    <w:tmpl w:val="CD84F448"/>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EED12D2"/>
    <w:multiLevelType w:val="multilevel"/>
    <w:tmpl w:val="530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3609889">
    <w:abstractNumId w:val="5"/>
  </w:num>
  <w:num w:numId="2" w16cid:durableId="853112735">
    <w:abstractNumId w:val="11"/>
  </w:num>
  <w:num w:numId="3" w16cid:durableId="908612315">
    <w:abstractNumId w:val="8"/>
  </w:num>
  <w:num w:numId="4" w16cid:durableId="1292518476">
    <w:abstractNumId w:val="19"/>
  </w:num>
  <w:num w:numId="5" w16cid:durableId="814447085">
    <w:abstractNumId w:val="17"/>
  </w:num>
  <w:num w:numId="6" w16cid:durableId="1528132447">
    <w:abstractNumId w:val="2"/>
  </w:num>
  <w:num w:numId="7" w16cid:durableId="666518413">
    <w:abstractNumId w:val="20"/>
  </w:num>
  <w:num w:numId="8" w16cid:durableId="1832941600">
    <w:abstractNumId w:val="10"/>
  </w:num>
  <w:num w:numId="9" w16cid:durableId="1032851037">
    <w:abstractNumId w:val="14"/>
  </w:num>
  <w:num w:numId="10" w16cid:durableId="651560836">
    <w:abstractNumId w:val="12"/>
  </w:num>
  <w:num w:numId="11" w16cid:durableId="1217014066">
    <w:abstractNumId w:val="18"/>
  </w:num>
  <w:num w:numId="12" w16cid:durableId="1317606707">
    <w:abstractNumId w:val="3"/>
  </w:num>
  <w:num w:numId="13" w16cid:durableId="1704358848">
    <w:abstractNumId w:val="4"/>
  </w:num>
  <w:num w:numId="14" w16cid:durableId="33234107">
    <w:abstractNumId w:val="0"/>
  </w:num>
  <w:num w:numId="15" w16cid:durableId="1616591975">
    <w:abstractNumId w:val="6"/>
  </w:num>
  <w:num w:numId="16" w16cid:durableId="549342306">
    <w:abstractNumId w:val="15"/>
  </w:num>
  <w:num w:numId="17" w16cid:durableId="1862041545">
    <w:abstractNumId w:val="13"/>
  </w:num>
  <w:num w:numId="18" w16cid:durableId="647126995">
    <w:abstractNumId w:val="16"/>
  </w:num>
  <w:num w:numId="19" w16cid:durableId="396631570">
    <w:abstractNumId w:val="7"/>
  </w:num>
  <w:num w:numId="20" w16cid:durableId="1789930032">
    <w:abstractNumId w:val="22"/>
  </w:num>
  <w:num w:numId="21" w16cid:durableId="4019108">
    <w:abstractNumId w:val="9"/>
  </w:num>
  <w:num w:numId="22" w16cid:durableId="576597533">
    <w:abstractNumId w:val="1"/>
  </w:num>
  <w:num w:numId="23" w16cid:durableId="14315819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ed55zdae29t94efpfqxz2zgrs5zfea9x20e&quot;&gt;NIHR Report Antidepressants pregnancy&lt;record-ids&gt;&lt;item&gt;1&lt;/item&gt;&lt;item&gt;2&lt;/item&gt;&lt;item&gt;3&lt;/item&gt;&lt;item&gt;4&lt;/item&gt;&lt;item&gt;14&lt;/item&gt;&lt;item&gt;16&lt;/item&gt;&lt;item&gt;28&lt;/item&gt;&lt;item&gt;37&lt;/item&gt;&lt;item&gt;39&lt;/item&gt;&lt;item&gt;49&lt;/item&gt;&lt;item&gt;57&lt;/item&gt;&lt;item&gt;58&lt;/item&gt;&lt;item&gt;59&lt;/item&gt;&lt;item&gt;65&lt;/item&gt;&lt;item&gt;72&lt;/item&gt;&lt;item&gt;89&lt;/item&gt;&lt;item&gt;95&lt;/item&gt;&lt;item&gt;101&lt;/item&gt;&lt;item&gt;102&lt;/item&gt;&lt;item&gt;109&lt;/item&gt;&lt;item&gt;110&lt;/item&gt;&lt;item&gt;114&lt;/item&gt;&lt;item&gt;118&lt;/item&gt;&lt;item&gt;120&lt;/item&gt;&lt;item&gt;123&lt;/item&gt;&lt;item&gt;126&lt;/item&gt;&lt;item&gt;128&lt;/item&gt;&lt;item&gt;131&lt;/item&gt;&lt;item&gt;133&lt;/item&gt;&lt;item&gt;142&lt;/item&gt;&lt;item&gt;147&lt;/item&gt;&lt;item&gt;148&lt;/item&gt;&lt;item&gt;150&lt;/item&gt;&lt;item&gt;159&lt;/item&gt;&lt;item&gt;161&lt;/item&gt;&lt;item&gt;162&lt;/item&gt;&lt;item&gt;177&lt;/item&gt;&lt;item&gt;190&lt;/item&gt;&lt;item&gt;191&lt;/item&gt;&lt;item&gt;195&lt;/item&gt;&lt;item&gt;197&lt;/item&gt;&lt;item&gt;205&lt;/item&gt;&lt;item&gt;206&lt;/item&gt;&lt;item&gt;208&lt;/item&gt;&lt;item&gt;209&lt;/item&gt;&lt;item&gt;211&lt;/item&gt;&lt;item&gt;216&lt;/item&gt;&lt;item&gt;222&lt;/item&gt;&lt;item&gt;229&lt;/item&gt;&lt;item&gt;232&lt;/item&gt;&lt;item&gt;240&lt;/item&gt;&lt;item&gt;245&lt;/item&gt;&lt;item&gt;251&lt;/item&gt;&lt;item&gt;257&lt;/item&gt;&lt;item&gt;258&lt;/item&gt;&lt;item&gt;261&lt;/item&gt;&lt;item&gt;262&lt;/item&gt;&lt;item&gt;263&lt;/item&gt;&lt;item&gt;264&lt;/item&gt;&lt;item&gt;265&lt;/item&gt;&lt;item&gt;266&lt;/item&gt;&lt;item&gt;268&lt;/item&gt;&lt;item&gt;269&lt;/item&gt;&lt;item&gt;270&lt;/item&gt;&lt;item&gt;271&lt;/item&gt;&lt;item&gt;272&lt;/item&gt;&lt;item&gt;273&lt;/item&gt;&lt;item&gt;274&lt;/item&gt;&lt;item&gt;275&lt;/item&gt;&lt;item&gt;276&lt;/item&gt;&lt;item&gt;277&lt;/item&gt;&lt;item&gt;278&lt;/item&gt;&lt;item&gt;279&lt;/item&gt;&lt;item&gt;280&lt;/item&gt;&lt;item&gt;282&lt;/item&gt;&lt;/record-ids&gt;&lt;/item&gt;&lt;/Libraries&gt;"/>
  </w:docVars>
  <w:rsids>
    <w:rsidRoot w:val="00745350"/>
    <w:rsid w:val="0000000D"/>
    <w:rsid w:val="00000CA1"/>
    <w:rsid w:val="000016DC"/>
    <w:rsid w:val="00001DC2"/>
    <w:rsid w:val="000024C2"/>
    <w:rsid w:val="0000302B"/>
    <w:rsid w:val="000037B5"/>
    <w:rsid w:val="000040B2"/>
    <w:rsid w:val="00004192"/>
    <w:rsid w:val="00004819"/>
    <w:rsid w:val="00004B54"/>
    <w:rsid w:val="00005FFC"/>
    <w:rsid w:val="00006BAF"/>
    <w:rsid w:val="00006E3F"/>
    <w:rsid w:val="0001047F"/>
    <w:rsid w:val="00011B37"/>
    <w:rsid w:val="00011BB7"/>
    <w:rsid w:val="00011F16"/>
    <w:rsid w:val="00012C59"/>
    <w:rsid w:val="00012FE5"/>
    <w:rsid w:val="0001370A"/>
    <w:rsid w:val="000140CB"/>
    <w:rsid w:val="00014C91"/>
    <w:rsid w:val="00015771"/>
    <w:rsid w:val="00015914"/>
    <w:rsid w:val="00015A7F"/>
    <w:rsid w:val="0001609D"/>
    <w:rsid w:val="000167FB"/>
    <w:rsid w:val="00016A8C"/>
    <w:rsid w:val="000175D0"/>
    <w:rsid w:val="0002036B"/>
    <w:rsid w:val="0002112A"/>
    <w:rsid w:val="00022249"/>
    <w:rsid w:val="000228E9"/>
    <w:rsid w:val="00022D4F"/>
    <w:rsid w:val="00022E10"/>
    <w:rsid w:val="000233DE"/>
    <w:rsid w:val="00023BCF"/>
    <w:rsid w:val="0002481B"/>
    <w:rsid w:val="00024858"/>
    <w:rsid w:val="000257D6"/>
    <w:rsid w:val="00025A78"/>
    <w:rsid w:val="000262C4"/>
    <w:rsid w:val="00027192"/>
    <w:rsid w:val="0003134F"/>
    <w:rsid w:val="00031C81"/>
    <w:rsid w:val="0003241C"/>
    <w:rsid w:val="00033952"/>
    <w:rsid w:val="00033F98"/>
    <w:rsid w:val="000351CA"/>
    <w:rsid w:val="0003544C"/>
    <w:rsid w:val="00037035"/>
    <w:rsid w:val="00037201"/>
    <w:rsid w:val="000373C6"/>
    <w:rsid w:val="000374F2"/>
    <w:rsid w:val="00037FE6"/>
    <w:rsid w:val="00040738"/>
    <w:rsid w:val="00042000"/>
    <w:rsid w:val="0004290F"/>
    <w:rsid w:val="0004343B"/>
    <w:rsid w:val="00043A59"/>
    <w:rsid w:val="00043BFD"/>
    <w:rsid w:val="00044203"/>
    <w:rsid w:val="00044219"/>
    <w:rsid w:val="00044402"/>
    <w:rsid w:val="00044F65"/>
    <w:rsid w:val="000457A2"/>
    <w:rsid w:val="00045F3F"/>
    <w:rsid w:val="0004694C"/>
    <w:rsid w:val="00046BD2"/>
    <w:rsid w:val="00047977"/>
    <w:rsid w:val="00047C6D"/>
    <w:rsid w:val="00047D58"/>
    <w:rsid w:val="00047E6F"/>
    <w:rsid w:val="00050A3B"/>
    <w:rsid w:val="00050ABA"/>
    <w:rsid w:val="00051266"/>
    <w:rsid w:val="00053791"/>
    <w:rsid w:val="00053868"/>
    <w:rsid w:val="0005409E"/>
    <w:rsid w:val="00054DDA"/>
    <w:rsid w:val="000552BE"/>
    <w:rsid w:val="00055D93"/>
    <w:rsid w:val="0005657F"/>
    <w:rsid w:val="00060151"/>
    <w:rsid w:val="000606DE"/>
    <w:rsid w:val="00061C50"/>
    <w:rsid w:val="00062E50"/>
    <w:rsid w:val="00063E17"/>
    <w:rsid w:val="0006405F"/>
    <w:rsid w:val="0006475D"/>
    <w:rsid w:val="0006666A"/>
    <w:rsid w:val="000671A0"/>
    <w:rsid w:val="000709FA"/>
    <w:rsid w:val="00071078"/>
    <w:rsid w:val="00071201"/>
    <w:rsid w:val="00071357"/>
    <w:rsid w:val="000732DB"/>
    <w:rsid w:val="0007348C"/>
    <w:rsid w:val="000746F2"/>
    <w:rsid w:val="00074C96"/>
    <w:rsid w:val="0007593C"/>
    <w:rsid w:val="00075F27"/>
    <w:rsid w:val="000806C2"/>
    <w:rsid w:val="000809B3"/>
    <w:rsid w:val="000810A2"/>
    <w:rsid w:val="000815EB"/>
    <w:rsid w:val="00081FB7"/>
    <w:rsid w:val="00082990"/>
    <w:rsid w:val="0008392F"/>
    <w:rsid w:val="00083E9C"/>
    <w:rsid w:val="00084B00"/>
    <w:rsid w:val="00084E85"/>
    <w:rsid w:val="000851C7"/>
    <w:rsid w:val="00085583"/>
    <w:rsid w:val="000856D2"/>
    <w:rsid w:val="000860EE"/>
    <w:rsid w:val="000865CA"/>
    <w:rsid w:val="0008696A"/>
    <w:rsid w:val="00087D96"/>
    <w:rsid w:val="00091616"/>
    <w:rsid w:val="000916DE"/>
    <w:rsid w:val="000918F9"/>
    <w:rsid w:val="00092049"/>
    <w:rsid w:val="00092465"/>
    <w:rsid w:val="00092CAB"/>
    <w:rsid w:val="0009485C"/>
    <w:rsid w:val="00094C06"/>
    <w:rsid w:val="00096074"/>
    <w:rsid w:val="000964E9"/>
    <w:rsid w:val="000967F9"/>
    <w:rsid w:val="00097D7E"/>
    <w:rsid w:val="000A0095"/>
    <w:rsid w:val="000A0620"/>
    <w:rsid w:val="000A1747"/>
    <w:rsid w:val="000A1E12"/>
    <w:rsid w:val="000A2318"/>
    <w:rsid w:val="000A29E8"/>
    <w:rsid w:val="000A2F94"/>
    <w:rsid w:val="000A310D"/>
    <w:rsid w:val="000A4A24"/>
    <w:rsid w:val="000A4ECA"/>
    <w:rsid w:val="000A5577"/>
    <w:rsid w:val="000A5B73"/>
    <w:rsid w:val="000A64C3"/>
    <w:rsid w:val="000A656B"/>
    <w:rsid w:val="000A7100"/>
    <w:rsid w:val="000A77EA"/>
    <w:rsid w:val="000A7F8D"/>
    <w:rsid w:val="000B00BC"/>
    <w:rsid w:val="000B00C8"/>
    <w:rsid w:val="000B019E"/>
    <w:rsid w:val="000B0482"/>
    <w:rsid w:val="000B073A"/>
    <w:rsid w:val="000B0DB9"/>
    <w:rsid w:val="000B1752"/>
    <w:rsid w:val="000B1B72"/>
    <w:rsid w:val="000B1C54"/>
    <w:rsid w:val="000B1CB2"/>
    <w:rsid w:val="000B1D59"/>
    <w:rsid w:val="000B2DA8"/>
    <w:rsid w:val="000B335D"/>
    <w:rsid w:val="000B361C"/>
    <w:rsid w:val="000B3923"/>
    <w:rsid w:val="000B3E1A"/>
    <w:rsid w:val="000B4072"/>
    <w:rsid w:val="000B42EC"/>
    <w:rsid w:val="000B5533"/>
    <w:rsid w:val="000B6527"/>
    <w:rsid w:val="000B69E6"/>
    <w:rsid w:val="000B6DA4"/>
    <w:rsid w:val="000B7872"/>
    <w:rsid w:val="000B7D00"/>
    <w:rsid w:val="000C0957"/>
    <w:rsid w:val="000C0BA7"/>
    <w:rsid w:val="000C14A5"/>
    <w:rsid w:val="000C193A"/>
    <w:rsid w:val="000C1AC6"/>
    <w:rsid w:val="000C1B7B"/>
    <w:rsid w:val="000C1EF0"/>
    <w:rsid w:val="000C24B3"/>
    <w:rsid w:val="000C4A73"/>
    <w:rsid w:val="000C4EF7"/>
    <w:rsid w:val="000C528E"/>
    <w:rsid w:val="000C6BB5"/>
    <w:rsid w:val="000C7223"/>
    <w:rsid w:val="000C7451"/>
    <w:rsid w:val="000D15D3"/>
    <w:rsid w:val="000D1961"/>
    <w:rsid w:val="000D1DAC"/>
    <w:rsid w:val="000D2225"/>
    <w:rsid w:val="000D29CC"/>
    <w:rsid w:val="000D3533"/>
    <w:rsid w:val="000D3BD3"/>
    <w:rsid w:val="000D3FED"/>
    <w:rsid w:val="000D4818"/>
    <w:rsid w:val="000D4DCC"/>
    <w:rsid w:val="000D4F31"/>
    <w:rsid w:val="000D5FF1"/>
    <w:rsid w:val="000D7F7E"/>
    <w:rsid w:val="000E0B8C"/>
    <w:rsid w:val="000E0BBF"/>
    <w:rsid w:val="000E127B"/>
    <w:rsid w:val="000E12E4"/>
    <w:rsid w:val="000E13E3"/>
    <w:rsid w:val="000E296F"/>
    <w:rsid w:val="000E433B"/>
    <w:rsid w:val="000E4D7E"/>
    <w:rsid w:val="000E55A5"/>
    <w:rsid w:val="000E62A0"/>
    <w:rsid w:val="000E62D3"/>
    <w:rsid w:val="000E69FC"/>
    <w:rsid w:val="000E7683"/>
    <w:rsid w:val="000E79F5"/>
    <w:rsid w:val="000F0305"/>
    <w:rsid w:val="000F0B89"/>
    <w:rsid w:val="000F1581"/>
    <w:rsid w:val="000F1FFF"/>
    <w:rsid w:val="000F24EE"/>
    <w:rsid w:val="000F30EB"/>
    <w:rsid w:val="000F39C9"/>
    <w:rsid w:val="000F420D"/>
    <w:rsid w:val="000F4B8C"/>
    <w:rsid w:val="000F521E"/>
    <w:rsid w:val="000F5C4E"/>
    <w:rsid w:val="000F71E9"/>
    <w:rsid w:val="000F7CDB"/>
    <w:rsid w:val="000F7DEE"/>
    <w:rsid w:val="00100078"/>
    <w:rsid w:val="001023C9"/>
    <w:rsid w:val="0010259E"/>
    <w:rsid w:val="00102DC8"/>
    <w:rsid w:val="0010401F"/>
    <w:rsid w:val="00105479"/>
    <w:rsid w:val="00105550"/>
    <w:rsid w:val="00106ACA"/>
    <w:rsid w:val="00107810"/>
    <w:rsid w:val="001078D9"/>
    <w:rsid w:val="001101CE"/>
    <w:rsid w:val="0011099C"/>
    <w:rsid w:val="00111000"/>
    <w:rsid w:val="001117AD"/>
    <w:rsid w:val="001131B9"/>
    <w:rsid w:val="0011324D"/>
    <w:rsid w:val="00113455"/>
    <w:rsid w:val="00113DE2"/>
    <w:rsid w:val="00116188"/>
    <w:rsid w:val="0011765B"/>
    <w:rsid w:val="00117697"/>
    <w:rsid w:val="00117D15"/>
    <w:rsid w:val="001204BF"/>
    <w:rsid w:val="0012121E"/>
    <w:rsid w:val="001212A0"/>
    <w:rsid w:val="001221ED"/>
    <w:rsid w:val="0012293B"/>
    <w:rsid w:val="00122A35"/>
    <w:rsid w:val="001232F2"/>
    <w:rsid w:val="001241E8"/>
    <w:rsid w:val="001244FC"/>
    <w:rsid w:val="00124910"/>
    <w:rsid w:val="00125D52"/>
    <w:rsid w:val="00126406"/>
    <w:rsid w:val="001269A3"/>
    <w:rsid w:val="00126D80"/>
    <w:rsid w:val="00126E1A"/>
    <w:rsid w:val="00127537"/>
    <w:rsid w:val="00127E6D"/>
    <w:rsid w:val="00130919"/>
    <w:rsid w:val="001328FB"/>
    <w:rsid w:val="00133734"/>
    <w:rsid w:val="00134C77"/>
    <w:rsid w:val="00135168"/>
    <w:rsid w:val="0013546E"/>
    <w:rsid w:val="00135508"/>
    <w:rsid w:val="00135757"/>
    <w:rsid w:val="001358F6"/>
    <w:rsid w:val="001361C6"/>
    <w:rsid w:val="00140289"/>
    <w:rsid w:val="00140E2F"/>
    <w:rsid w:val="00142673"/>
    <w:rsid w:val="00142F1C"/>
    <w:rsid w:val="0014332A"/>
    <w:rsid w:val="00143344"/>
    <w:rsid w:val="001437B2"/>
    <w:rsid w:val="00143E61"/>
    <w:rsid w:val="001440F2"/>
    <w:rsid w:val="001450DB"/>
    <w:rsid w:val="001451D0"/>
    <w:rsid w:val="001460D4"/>
    <w:rsid w:val="00146947"/>
    <w:rsid w:val="00146BFB"/>
    <w:rsid w:val="00147AD3"/>
    <w:rsid w:val="00147B1B"/>
    <w:rsid w:val="00147B5D"/>
    <w:rsid w:val="00147EB9"/>
    <w:rsid w:val="00150CCC"/>
    <w:rsid w:val="00150E7C"/>
    <w:rsid w:val="00150F69"/>
    <w:rsid w:val="00152167"/>
    <w:rsid w:val="00152315"/>
    <w:rsid w:val="00153969"/>
    <w:rsid w:val="001547F5"/>
    <w:rsid w:val="00156300"/>
    <w:rsid w:val="0015740A"/>
    <w:rsid w:val="00160873"/>
    <w:rsid w:val="001610CD"/>
    <w:rsid w:val="00161843"/>
    <w:rsid w:val="00164251"/>
    <w:rsid w:val="00165186"/>
    <w:rsid w:val="00167C9D"/>
    <w:rsid w:val="00167FCB"/>
    <w:rsid w:val="001708A2"/>
    <w:rsid w:val="00171020"/>
    <w:rsid w:val="001720D4"/>
    <w:rsid w:val="00172664"/>
    <w:rsid w:val="00173A17"/>
    <w:rsid w:val="00174C57"/>
    <w:rsid w:val="00174D5B"/>
    <w:rsid w:val="00175C8C"/>
    <w:rsid w:val="0017609B"/>
    <w:rsid w:val="00176257"/>
    <w:rsid w:val="00176AE3"/>
    <w:rsid w:val="00176B5A"/>
    <w:rsid w:val="0017765E"/>
    <w:rsid w:val="00177A5E"/>
    <w:rsid w:val="00177C5C"/>
    <w:rsid w:val="00180ED4"/>
    <w:rsid w:val="001811D0"/>
    <w:rsid w:val="001814B4"/>
    <w:rsid w:val="001854A6"/>
    <w:rsid w:val="00186079"/>
    <w:rsid w:val="001868AE"/>
    <w:rsid w:val="00186EE6"/>
    <w:rsid w:val="00187912"/>
    <w:rsid w:val="00190AA1"/>
    <w:rsid w:val="0019135F"/>
    <w:rsid w:val="0019154C"/>
    <w:rsid w:val="001916E0"/>
    <w:rsid w:val="001920BF"/>
    <w:rsid w:val="00192980"/>
    <w:rsid w:val="00192CEF"/>
    <w:rsid w:val="001930B7"/>
    <w:rsid w:val="001931A0"/>
    <w:rsid w:val="0019349B"/>
    <w:rsid w:val="00193ED9"/>
    <w:rsid w:val="001949FE"/>
    <w:rsid w:val="00194C50"/>
    <w:rsid w:val="00194C6A"/>
    <w:rsid w:val="00194DDA"/>
    <w:rsid w:val="001953F8"/>
    <w:rsid w:val="00195623"/>
    <w:rsid w:val="00195D05"/>
    <w:rsid w:val="00195E80"/>
    <w:rsid w:val="001965C9"/>
    <w:rsid w:val="001A073A"/>
    <w:rsid w:val="001A1AD3"/>
    <w:rsid w:val="001A1B33"/>
    <w:rsid w:val="001A1DA1"/>
    <w:rsid w:val="001A3290"/>
    <w:rsid w:val="001A32DC"/>
    <w:rsid w:val="001A4447"/>
    <w:rsid w:val="001A461D"/>
    <w:rsid w:val="001A4FC8"/>
    <w:rsid w:val="001A51A9"/>
    <w:rsid w:val="001A5D2D"/>
    <w:rsid w:val="001A5DAB"/>
    <w:rsid w:val="001A6307"/>
    <w:rsid w:val="001A7575"/>
    <w:rsid w:val="001A7EE7"/>
    <w:rsid w:val="001B02F7"/>
    <w:rsid w:val="001B04FA"/>
    <w:rsid w:val="001B0666"/>
    <w:rsid w:val="001B06F6"/>
    <w:rsid w:val="001B0D3B"/>
    <w:rsid w:val="001B1FD6"/>
    <w:rsid w:val="001B26BD"/>
    <w:rsid w:val="001B292E"/>
    <w:rsid w:val="001B2C8E"/>
    <w:rsid w:val="001B3085"/>
    <w:rsid w:val="001B3ABA"/>
    <w:rsid w:val="001B3DF6"/>
    <w:rsid w:val="001B42B9"/>
    <w:rsid w:val="001B46A6"/>
    <w:rsid w:val="001B4C1F"/>
    <w:rsid w:val="001B5041"/>
    <w:rsid w:val="001B55CB"/>
    <w:rsid w:val="001B5B86"/>
    <w:rsid w:val="001B5F50"/>
    <w:rsid w:val="001B6A02"/>
    <w:rsid w:val="001B6B3A"/>
    <w:rsid w:val="001B6D1E"/>
    <w:rsid w:val="001B72F6"/>
    <w:rsid w:val="001B78E5"/>
    <w:rsid w:val="001B7C73"/>
    <w:rsid w:val="001C01BA"/>
    <w:rsid w:val="001C04A2"/>
    <w:rsid w:val="001C0559"/>
    <w:rsid w:val="001C0D7B"/>
    <w:rsid w:val="001C1557"/>
    <w:rsid w:val="001C199D"/>
    <w:rsid w:val="001C1B27"/>
    <w:rsid w:val="001C1C53"/>
    <w:rsid w:val="001C304B"/>
    <w:rsid w:val="001C463A"/>
    <w:rsid w:val="001C5D67"/>
    <w:rsid w:val="001C6373"/>
    <w:rsid w:val="001C6708"/>
    <w:rsid w:val="001C7079"/>
    <w:rsid w:val="001C7D4E"/>
    <w:rsid w:val="001D015F"/>
    <w:rsid w:val="001D0460"/>
    <w:rsid w:val="001D1DBC"/>
    <w:rsid w:val="001D247E"/>
    <w:rsid w:val="001D5445"/>
    <w:rsid w:val="001D567C"/>
    <w:rsid w:val="001D571B"/>
    <w:rsid w:val="001D57C2"/>
    <w:rsid w:val="001D6241"/>
    <w:rsid w:val="001D6267"/>
    <w:rsid w:val="001D6835"/>
    <w:rsid w:val="001D6C62"/>
    <w:rsid w:val="001D6DD8"/>
    <w:rsid w:val="001D71DF"/>
    <w:rsid w:val="001D7962"/>
    <w:rsid w:val="001D7B5F"/>
    <w:rsid w:val="001D7DCD"/>
    <w:rsid w:val="001D7EF3"/>
    <w:rsid w:val="001E06A6"/>
    <w:rsid w:val="001E0FE4"/>
    <w:rsid w:val="001E0FE8"/>
    <w:rsid w:val="001E3317"/>
    <w:rsid w:val="001E4C4D"/>
    <w:rsid w:val="001E4D95"/>
    <w:rsid w:val="001E6957"/>
    <w:rsid w:val="001E6B1A"/>
    <w:rsid w:val="001E6CB6"/>
    <w:rsid w:val="001E7C68"/>
    <w:rsid w:val="001F02BF"/>
    <w:rsid w:val="001F093E"/>
    <w:rsid w:val="001F141E"/>
    <w:rsid w:val="001F171F"/>
    <w:rsid w:val="001F1C93"/>
    <w:rsid w:val="001F224B"/>
    <w:rsid w:val="001F3686"/>
    <w:rsid w:val="001F42FD"/>
    <w:rsid w:val="001F47EA"/>
    <w:rsid w:val="001F4A38"/>
    <w:rsid w:val="001F4AB4"/>
    <w:rsid w:val="001F4EF0"/>
    <w:rsid w:val="001F5470"/>
    <w:rsid w:val="001F61D3"/>
    <w:rsid w:val="001F6A04"/>
    <w:rsid w:val="001F7D49"/>
    <w:rsid w:val="0020064A"/>
    <w:rsid w:val="002006F8"/>
    <w:rsid w:val="002024D7"/>
    <w:rsid w:val="00202A76"/>
    <w:rsid w:val="00202F88"/>
    <w:rsid w:val="0020329F"/>
    <w:rsid w:val="0020368D"/>
    <w:rsid w:val="0020435F"/>
    <w:rsid w:val="00204BA1"/>
    <w:rsid w:val="0020608C"/>
    <w:rsid w:val="00206358"/>
    <w:rsid w:val="002063A4"/>
    <w:rsid w:val="0020648B"/>
    <w:rsid w:val="00206524"/>
    <w:rsid w:val="002067B3"/>
    <w:rsid w:val="00207189"/>
    <w:rsid w:val="00207F1E"/>
    <w:rsid w:val="00210750"/>
    <w:rsid w:val="00210AAB"/>
    <w:rsid w:val="0021128C"/>
    <w:rsid w:val="002116F8"/>
    <w:rsid w:val="00212C12"/>
    <w:rsid w:val="002138CF"/>
    <w:rsid w:val="00214109"/>
    <w:rsid w:val="0021512D"/>
    <w:rsid w:val="00216312"/>
    <w:rsid w:val="0021670E"/>
    <w:rsid w:val="00216CDD"/>
    <w:rsid w:val="0022044E"/>
    <w:rsid w:val="00220793"/>
    <w:rsid w:val="0022097B"/>
    <w:rsid w:val="00221894"/>
    <w:rsid w:val="00222175"/>
    <w:rsid w:val="00222CC1"/>
    <w:rsid w:val="00223485"/>
    <w:rsid w:val="002248C2"/>
    <w:rsid w:val="00224CC0"/>
    <w:rsid w:val="00224D07"/>
    <w:rsid w:val="00225578"/>
    <w:rsid w:val="00226A98"/>
    <w:rsid w:val="0022727D"/>
    <w:rsid w:val="00230784"/>
    <w:rsid w:val="002307CE"/>
    <w:rsid w:val="00230919"/>
    <w:rsid w:val="0023167C"/>
    <w:rsid w:val="00231D43"/>
    <w:rsid w:val="0023232C"/>
    <w:rsid w:val="0023271F"/>
    <w:rsid w:val="00232BC0"/>
    <w:rsid w:val="0023316B"/>
    <w:rsid w:val="00234CF5"/>
    <w:rsid w:val="00234E1E"/>
    <w:rsid w:val="002358F4"/>
    <w:rsid w:val="00236098"/>
    <w:rsid w:val="00236730"/>
    <w:rsid w:val="00236C52"/>
    <w:rsid w:val="00236D79"/>
    <w:rsid w:val="00237851"/>
    <w:rsid w:val="00240C75"/>
    <w:rsid w:val="00241288"/>
    <w:rsid w:val="00241786"/>
    <w:rsid w:val="00241C7B"/>
    <w:rsid w:val="00242043"/>
    <w:rsid w:val="00242A21"/>
    <w:rsid w:val="0024312D"/>
    <w:rsid w:val="00243A8E"/>
    <w:rsid w:val="00243CEA"/>
    <w:rsid w:val="00245C4C"/>
    <w:rsid w:val="00245E2C"/>
    <w:rsid w:val="00246890"/>
    <w:rsid w:val="00246BBD"/>
    <w:rsid w:val="002478B5"/>
    <w:rsid w:val="0025006D"/>
    <w:rsid w:val="0025036D"/>
    <w:rsid w:val="00250BF6"/>
    <w:rsid w:val="002516A5"/>
    <w:rsid w:val="00251A20"/>
    <w:rsid w:val="00251AB2"/>
    <w:rsid w:val="002520CB"/>
    <w:rsid w:val="002522A7"/>
    <w:rsid w:val="002523EF"/>
    <w:rsid w:val="00254936"/>
    <w:rsid w:val="0025493E"/>
    <w:rsid w:val="0025532B"/>
    <w:rsid w:val="00255661"/>
    <w:rsid w:val="00255C3D"/>
    <w:rsid w:val="00256C77"/>
    <w:rsid w:val="002577FF"/>
    <w:rsid w:val="002604A1"/>
    <w:rsid w:val="002625B6"/>
    <w:rsid w:val="00262720"/>
    <w:rsid w:val="00262ADD"/>
    <w:rsid w:val="00263029"/>
    <w:rsid w:val="0026316B"/>
    <w:rsid w:val="002642D9"/>
    <w:rsid w:val="00264645"/>
    <w:rsid w:val="002646E2"/>
    <w:rsid w:val="0026488D"/>
    <w:rsid w:val="0026504D"/>
    <w:rsid w:val="002657AF"/>
    <w:rsid w:val="002661C5"/>
    <w:rsid w:val="002666E5"/>
    <w:rsid w:val="002668E3"/>
    <w:rsid w:val="00270400"/>
    <w:rsid w:val="00270443"/>
    <w:rsid w:val="002723D7"/>
    <w:rsid w:val="00272DF1"/>
    <w:rsid w:val="002731F7"/>
    <w:rsid w:val="00274EE1"/>
    <w:rsid w:val="00280833"/>
    <w:rsid w:val="0028143D"/>
    <w:rsid w:val="0028234A"/>
    <w:rsid w:val="00282CDD"/>
    <w:rsid w:val="00283F15"/>
    <w:rsid w:val="002864A4"/>
    <w:rsid w:val="002868FE"/>
    <w:rsid w:val="00287AB4"/>
    <w:rsid w:val="002905B0"/>
    <w:rsid w:val="00290D61"/>
    <w:rsid w:val="00292657"/>
    <w:rsid w:val="0029347C"/>
    <w:rsid w:val="002934CD"/>
    <w:rsid w:val="00293EAB"/>
    <w:rsid w:val="00294009"/>
    <w:rsid w:val="0029508A"/>
    <w:rsid w:val="002954EA"/>
    <w:rsid w:val="00296EAA"/>
    <w:rsid w:val="00297B01"/>
    <w:rsid w:val="002A019A"/>
    <w:rsid w:val="002A037C"/>
    <w:rsid w:val="002A068C"/>
    <w:rsid w:val="002A0774"/>
    <w:rsid w:val="002A1336"/>
    <w:rsid w:val="002A1893"/>
    <w:rsid w:val="002A37F6"/>
    <w:rsid w:val="002A3CDF"/>
    <w:rsid w:val="002A40C8"/>
    <w:rsid w:val="002A4BA7"/>
    <w:rsid w:val="002A4C63"/>
    <w:rsid w:val="002A57F6"/>
    <w:rsid w:val="002A5A5B"/>
    <w:rsid w:val="002A5BD2"/>
    <w:rsid w:val="002A5EBE"/>
    <w:rsid w:val="002A61D0"/>
    <w:rsid w:val="002A7428"/>
    <w:rsid w:val="002A7902"/>
    <w:rsid w:val="002B00A0"/>
    <w:rsid w:val="002B0B7D"/>
    <w:rsid w:val="002B121C"/>
    <w:rsid w:val="002B2990"/>
    <w:rsid w:val="002B299D"/>
    <w:rsid w:val="002B3BCC"/>
    <w:rsid w:val="002B4307"/>
    <w:rsid w:val="002B4916"/>
    <w:rsid w:val="002B5509"/>
    <w:rsid w:val="002B58E5"/>
    <w:rsid w:val="002B66B9"/>
    <w:rsid w:val="002B6836"/>
    <w:rsid w:val="002B6CB9"/>
    <w:rsid w:val="002B753E"/>
    <w:rsid w:val="002B7CFF"/>
    <w:rsid w:val="002C0771"/>
    <w:rsid w:val="002C1714"/>
    <w:rsid w:val="002C1AC9"/>
    <w:rsid w:val="002C1DD4"/>
    <w:rsid w:val="002C210D"/>
    <w:rsid w:val="002C3D83"/>
    <w:rsid w:val="002C443D"/>
    <w:rsid w:val="002C4F44"/>
    <w:rsid w:val="002C509A"/>
    <w:rsid w:val="002C60B7"/>
    <w:rsid w:val="002C61BA"/>
    <w:rsid w:val="002C62AC"/>
    <w:rsid w:val="002C7020"/>
    <w:rsid w:val="002C7FCB"/>
    <w:rsid w:val="002D023F"/>
    <w:rsid w:val="002D06A7"/>
    <w:rsid w:val="002D07D3"/>
    <w:rsid w:val="002D197A"/>
    <w:rsid w:val="002D2813"/>
    <w:rsid w:val="002D3C4B"/>
    <w:rsid w:val="002D3E55"/>
    <w:rsid w:val="002D4B46"/>
    <w:rsid w:val="002D4EF5"/>
    <w:rsid w:val="002D5668"/>
    <w:rsid w:val="002D6600"/>
    <w:rsid w:val="002D6732"/>
    <w:rsid w:val="002E136C"/>
    <w:rsid w:val="002E1646"/>
    <w:rsid w:val="002E26FB"/>
    <w:rsid w:val="002E329A"/>
    <w:rsid w:val="002E37D7"/>
    <w:rsid w:val="002E3AFA"/>
    <w:rsid w:val="002E3BBB"/>
    <w:rsid w:val="002E55C6"/>
    <w:rsid w:val="002E6B00"/>
    <w:rsid w:val="002E6EC0"/>
    <w:rsid w:val="002E6FEF"/>
    <w:rsid w:val="002E727B"/>
    <w:rsid w:val="002E74EB"/>
    <w:rsid w:val="002E7761"/>
    <w:rsid w:val="002E7B59"/>
    <w:rsid w:val="002E7D15"/>
    <w:rsid w:val="002F03C1"/>
    <w:rsid w:val="002F0C03"/>
    <w:rsid w:val="002F0C92"/>
    <w:rsid w:val="002F152C"/>
    <w:rsid w:val="002F1896"/>
    <w:rsid w:val="002F2030"/>
    <w:rsid w:val="002F2E92"/>
    <w:rsid w:val="002F2ECF"/>
    <w:rsid w:val="002F46FF"/>
    <w:rsid w:val="002F4718"/>
    <w:rsid w:val="002F4A09"/>
    <w:rsid w:val="002F4CFC"/>
    <w:rsid w:val="002F57B2"/>
    <w:rsid w:val="002F5DAD"/>
    <w:rsid w:val="002F62B5"/>
    <w:rsid w:val="002F6CC0"/>
    <w:rsid w:val="002F7575"/>
    <w:rsid w:val="002F7826"/>
    <w:rsid w:val="00300517"/>
    <w:rsid w:val="00300977"/>
    <w:rsid w:val="00300AEA"/>
    <w:rsid w:val="00300B54"/>
    <w:rsid w:val="00300D4A"/>
    <w:rsid w:val="003011B2"/>
    <w:rsid w:val="003011B4"/>
    <w:rsid w:val="00301231"/>
    <w:rsid w:val="00301326"/>
    <w:rsid w:val="00301C5B"/>
    <w:rsid w:val="00301FDB"/>
    <w:rsid w:val="003027C7"/>
    <w:rsid w:val="00302C33"/>
    <w:rsid w:val="00302C71"/>
    <w:rsid w:val="00303449"/>
    <w:rsid w:val="0030431A"/>
    <w:rsid w:val="0030467E"/>
    <w:rsid w:val="00304C9E"/>
    <w:rsid w:val="00305C70"/>
    <w:rsid w:val="0030727B"/>
    <w:rsid w:val="0030794E"/>
    <w:rsid w:val="00307B02"/>
    <w:rsid w:val="00310414"/>
    <w:rsid w:val="00311B7A"/>
    <w:rsid w:val="00311C44"/>
    <w:rsid w:val="003120A9"/>
    <w:rsid w:val="003124DA"/>
    <w:rsid w:val="00312792"/>
    <w:rsid w:val="00313D51"/>
    <w:rsid w:val="00314FEE"/>
    <w:rsid w:val="00315167"/>
    <w:rsid w:val="0031534E"/>
    <w:rsid w:val="003155C1"/>
    <w:rsid w:val="003157C5"/>
    <w:rsid w:val="00315898"/>
    <w:rsid w:val="003174AF"/>
    <w:rsid w:val="00317A29"/>
    <w:rsid w:val="00317A8A"/>
    <w:rsid w:val="0032037D"/>
    <w:rsid w:val="0032081B"/>
    <w:rsid w:val="003210AF"/>
    <w:rsid w:val="00321FA6"/>
    <w:rsid w:val="0032471B"/>
    <w:rsid w:val="003248DD"/>
    <w:rsid w:val="00325953"/>
    <w:rsid w:val="00326835"/>
    <w:rsid w:val="00327D40"/>
    <w:rsid w:val="003301C7"/>
    <w:rsid w:val="003315A9"/>
    <w:rsid w:val="00331C38"/>
    <w:rsid w:val="00331CF2"/>
    <w:rsid w:val="00332592"/>
    <w:rsid w:val="00332602"/>
    <w:rsid w:val="00332DEB"/>
    <w:rsid w:val="003331D1"/>
    <w:rsid w:val="00333395"/>
    <w:rsid w:val="00335958"/>
    <w:rsid w:val="00335974"/>
    <w:rsid w:val="00335CB2"/>
    <w:rsid w:val="00336998"/>
    <w:rsid w:val="00337A82"/>
    <w:rsid w:val="00337CFD"/>
    <w:rsid w:val="0034058A"/>
    <w:rsid w:val="00340B23"/>
    <w:rsid w:val="00340C08"/>
    <w:rsid w:val="003418EC"/>
    <w:rsid w:val="00341A2D"/>
    <w:rsid w:val="00345D6F"/>
    <w:rsid w:val="0034650C"/>
    <w:rsid w:val="00347496"/>
    <w:rsid w:val="00350EC6"/>
    <w:rsid w:val="0035208A"/>
    <w:rsid w:val="00353220"/>
    <w:rsid w:val="003540CB"/>
    <w:rsid w:val="00354879"/>
    <w:rsid w:val="00354AAE"/>
    <w:rsid w:val="003551AA"/>
    <w:rsid w:val="00356568"/>
    <w:rsid w:val="00356628"/>
    <w:rsid w:val="00356902"/>
    <w:rsid w:val="00357333"/>
    <w:rsid w:val="00357544"/>
    <w:rsid w:val="003601E5"/>
    <w:rsid w:val="00360365"/>
    <w:rsid w:val="00362E71"/>
    <w:rsid w:val="0036379D"/>
    <w:rsid w:val="0036435A"/>
    <w:rsid w:val="00364443"/>
    <w:rsid w:val="003646EC"/>
    <w:rsid w:val="00364A66"/>
    <w:rsid w:val="00365554"/>
    <w:rsid w:val="003655D5"/>
    <w:rsid w:val="003662DB"/>
    <w:rsid w:val="00366CE7"/>
    <w:rsid w:val="00366DD9"/>
    <w:rsid w:val="00370F53"/>
    <w:rsid w:val="003719EF"/>
    <w:rsid w:val="0037212A"/>
    <w:rsid w:val="00372491"/>
    <w:rsid w:val="0037267A"/>
    <w:rsid w:val="00372A07"/>
    <w:rsid w:val="00372B81"/>
    <w:rsid w:val="00373636"/>
    <w:rsid w:val="00373A08"/>
    <w:rsid w:val="0037465D"/>
    <w:rsid w:val="003749AE"/>
    <w:rsid w:val="00374EB5"/>
    <w:rsid w:val="003750DD"/>
    <w:rsid w:val="00375A4E"/>
    <w:rsid w:val="0037677B"/>
    <w:rsid w:val="00376ADE"/>
    <w:rsid w:val="00376FAC"/>
    <w:rsid w:val="00377356"/>
    <w:rsid w:val="003776AA"/>
    <w:rsid w:val="003802E8"/>
    <w:rsid w:val="00380599"/>
    <w:rsid w:val="00380A85"/>
    <w:rsid w:val="003816F1"/>
    <w:rsid w:val="00381F75"/>
    <w:rsid w:val="003829B7"/>
    <w:rsid w:val="00382F41"/>
    <w:rsid w:val="003837FE"/>
    <w:rsid w:val="00383B08"/>
    <w:rsid w:val="00383C07"/>
    <w:rsid w:val="00383DBB"/>
    <w:rsid w:val="003845A4"/>
    <w:rsid w:val="00384829"/>
    <w:rsid w:val="00385C31"/>
    <w:rsid w:val="00385F63"/>
    <w:rsid w:val="003860F4"/>
    <w:rsid w:val="0038634C"/>
    <w:rsid w:val="00386C04"/>
    <w:rsid w:val="0038745A"/>
    <w:rsid w:val="00387B69"/>
    <w:rsid w:val="00390C5E"/>
    <w:rsid w:val="00390CAD"/>
    <w:rsid w:val="0039241B"/>
    <w:rsid w:val="00393AF5"/>
    <w:rsid w:val="00394504"/>
    <w:rsid w:val="00394EBF"/>
    <w:rsid w:val="00394F70"/>
    <w:rsid w:val="00395781"/>
    <w:rsid w:val="003957C6"/>
    <w:rsid w:val="003963D1"/>
    <w:rsid w:val="00396BB8"/>
    <w:rsid w:val="00397035"/>
    <w:rsid w:val="0039735C"/>
    <w:rsid w:val="00397690"/>
    <w:rsid w:val="003A0C6B"/>
    <w:rsid w:val="003A22C4"/>
    <w:rsid w:val="003A2DE9"/>
    <w:rsid w:val="003A48F8"/>
    <w:rsid w:val="003A4E71"/>
    <w:rsid w:val="003A61D2"/>
    <w:rsid w:val="003A696E"/>
    <w:rsid w:val="003B043C"/>
    <w:rsid w:val="003B0F27"/>
    <w:rsid w:val="003B2018"/>
    <w:rsid w:val="003B20AF"/>
    <w:rsid w:val="003B2393"/>
    <w:rsid w:val="003B2F29"/>
    <w:rsid w:val="003B32A3"/>
    <w:rsid w:val="003B34AB"/>
    <w:rsid w:val="003B4018"/>
    <w:rsid w:val="003B4D24"/>
    <w:rsid w:val="003B4F5B"/>
    <w:rsid w:val="003B54BB"/>
    <w:rsid w:val="003B592D"/>
    <w:rsid w:val="003B5955"/>
    <w:rsid w:val="003B6C7D"/>
    <w:rsid w:val="003B7249"/>
    <w:rsid w:val="003B725E"/>
    <w:rsid w:val="003B72DE"/>
    <w:rsid w:val="003B7610"/>
    <w:rsid w:val="003C0487"/>
    <w:rsid w:val="003C07D2"/>
    <w:rsid w:val="003C09A0"/>
    <w:rsid w:val="003C0B6E"/>
    <w:rsid w:val="003C16ED"/>
    <w:rsid w:val="003C1867"/>
    <w:rsid w:val="003C1EA3"/>
    <w:rsid w:val="003C22A2"/>
    <w:rsid w:val="003C2F05"/>
    <w:rsid w:val="003C3148"/>
    <w:rsid w:val="003C33BF"/>
    <w:rsid w:val="003C4689"/>
    <w:rsid w:val="003C46EE"/>
    <w:rsid w:val="003C5DA6"/>
    <w:rsid w:val="003C6349"/>
    <w:rsid w:val="003C656C"/>
    <w:rsid w:val="003C65A7"/>
    <w:rsid w:val="003C6D8E"/>
    <w:rsid w:val="003C7090"/>
    <w:rsid w:val="003C7408"/>
    <w:rsid w:val="003C750F"/>
    <w:rsid w:val="003C7819"/>
    <w:rsid w:val="003C7E62"/>
    <w:rsid w:val="003D0113"/>
    <w:rsid w:val="003D1878"/>
    <w:rsid w:val="003D207A"/>
    <w:rsid w:val="003D2812"/>
    <w:rsid w:val="003D2968"/>
    <w:rsid w:val="003D2B1C"/>
    <w:rsid w:val="003D2C64"/>
    <w:rsid w:val="003D4B88"/>
    <w:rsid w:val="003D4C1E"/>
    <w:rsid w:val="003D54B6"/>
    <w:rsid w:val="003D6F69"/>
    <w:rsid w:val="003D723A"/>
    <w:rsid w:val="003E09BD"/>
    <w:rsid w:val="003E119C"/>
    <w:rsid w:val="003E119E"/>
    <w:rsid w:val="003E1F86"/>
    <w:rsid w:val="003E2652"/>
    <w:rsid w:val="003E33AA"/>
    <w:rsid w:val="003E3963"/>
    <w:rsid w:val="003E5F56"/>
    <w:rsid w:val="003F027A"/>
    <w:rsid w:val="003F05EE"/>
    <w:rsid w:val="003F165A"/>
    <w:rsid w:val="003F24D3"/>
    <w:rsid w:val="003F2C58"/>
    <w:rsid w:val="003F2E69"/>
    <w:rsid w:val="003F305F"/>
    <w:rsid w:val="003F3CF6"/>
    <w:rsid w:val="003F4C9D"/>
    <w:rsid w:val="003F504F"/>
    <w:rsid w:val="003F5E6B"/>
    <w:rsid w:val="003F6D14"/>
    <w:rsid w:val="00400686"/>
    <w:rsid w:val="00400706"/>
    <w:rsid w:val="004028D2"/>
    <w:rsid w:val="0040388E"/>
    <w:rsid w:val="004043E7"/>
    <w:rsid w:val="00404D1A"/>
    <w:rsid w:val="00405879"/>
    <w:rsid w:val="004059B5"/>
    <w:rsid w:val="00407F9A"/>
    <w:rsid w:val="0041011E"/>
    <w:rsid w:val="00410A44"/>
    <w:rsid w:val="004122A7"/>
    <w:rsid w:val="00412407"/>
    <w:rsid w:val="0041247F"/>
    <w:rsid w:val="00412AFF"/>
    <w:rsid w:val="00413D49"/>
    <w:rsid w:val="00414255"/>
    <w:rsid w:val="00414ABF"/>
    <w:rsid w:val="00414F99"/>
    <w:rsid w:val="004151C4"/>
    <w:rsid w:val="004155B9"/>
    <w:rsid w:val="004162E0"/>
    <w:rsid w:val="0041658B"/>
    <w:rsid w:val="0041678E"/>
    <w:rsid w:val="00416850"/>
    <w:rsid w:val="00416F08"/>
    <w:rsid w:val="00417328"/>
    <w:rsid w:val="00417856"/>
    <w:rsid w:val="0042068D"/>
    <w:rsid w:val="00420FAE"/>
    <w:rsid w:val="00422B38"/>
    <w:rsid w:val="0042322F"/>
    <w:rsid w:val="004249E5"/>
    <w:rsid w:val="00424F5A"/>
    <w:rsid w:val="00425C33"/>
    <w:rsid w:val="004261EA"/>
    <w:rsid w:val="004268B4"/>
    <w:rsid w:val="00426DB0"/>
    <w:rsid w:val="00427068"/>
    <w:rsid w:val="0042710B"/>
    <w:rsid w:val="004302BF"/>
    <w:rsid w:val="00430507"/>
    <w:rsid w:val="00431037"/>
    <w:rsid w:val="004317B5"/>
    <w:rsid w:val="004318FC"/>
    <w:rsid w:val="00432E66"/>
    <w:rsid w:val="004336F3"/>
    <w:rsid w:val="004337F6"/>
    <w:rsid w:val="00433C11"/>
    <w:rsid w:val="00434EEA"/>
    <w:rsid w:val="00435BCA"/>
    <w:rsid w:val="00435F73"/>
    <w:rsid w:val="00436504"/>
    <w:rsid w:val="00436B02"/>
    <w:rsid w:val="00436DEB"/>
    <w:rsid w:val="004421EF"/>
    <w:rsid w:val="0044286B"/>
    <w:rsid w:val="00442A2A"/>
    <w:rsid w:val="00442C6D"/>
    <w:rsid w:val="00442F93"/>
    <w:rsid w:val="00445179"/>
    <w:rsid w:val="004460E7"/>
    <w:rsid w:val="00446426"/>
    <w:rsid w:val="00446707"/>
    <w:rsid w:val="00447A81"/>
    <w:rsid w:val="00450D11"/>
    <w:rsid w:val="00452004"/>
    <w:rsid w:val="00452435"/>
    <w:rsid w:val="00452601"/>
    <w:rsid w:val="004539E7"/>
    <w:rsid w:val="004545EE"/>
    <w:rsid w:val="00455130"/>
    <w:rsid w:val="00455279"/>
    <w:rsid w:val="004554FE"/>
    <w:rsid w:val="00455D56"/>
    <w:rsid w:val="00456315"/>
    <w:rsid w:val="004566B3"/>
    <w:rsid w:val="00457EB1"/>
    <w:rsid w:val="0046091D"/>
    <w:rsid w:val="00461079"/>
    <w:rsid w:val="00461F86"/>
    <w:rsid w:val="004653A7"/>
    <w:rsid w:val="004659A2"/>
    <w:rsid w:val="004660C0"/>
    <w:rsid w:val="00466D5D"/>
    <w:rsid w:val="00466E11"/>
    <w:rsid w:val="004670A0"/>
    <w:rsid w:val="00467111"/>
    <w:rsid w:val="0046772E"/>
    <w:rsid w:val="004700AE"/>
    <w:rsid w:val="00470912"/>
    <w:rsid w:val="00470FEA"/>
    <w:rsid w:val="00471AD1"/>
    <w:rsid w:val="00471CD7"/>
    <w:rsid w:val="00472077"/>
    <w:rsid w:val="004724CE"/>
    <w:rsid w:val="004725D5"/>
    <w:rsid w:val="004728BC"/>
    <w:rsid w:val="00474835"/>
    <w:rsid w:val="00474BCC"/>
    <w:rsid w:val="00475424"/>
    <w:rsid w:val="0047573A"/>
    <w:rsid w:val="00475CDE"/>
    <w:rsid w:val="004760BA"/>
    <w:rsid w:val="00476A46"/>
    <w:rsid w:val="00477214"/>
    <w:rsid w:val="00480106"/>
    <w:rsid w:val="0048040E"/>
    <w:rsid w:val="00480475"/>
    <w:rsid w:val="004804D9"/>
    <w:rsid w:val="0048072F"/>
    <w:rsid w:val="00480DBA"/>
    <w:rsid w:val="00481015"/>
    <w:rsid w:val="00482610"/>
    <w:rsid w:val="00482F5A"/>
    <w:rsid w:val="004832C0"/>
    <w:rsid w:val="00483ECA"/>
    <w:rsid w:val="00485C0B"/>
    <w:rsid w:val="00485DA0"/>
    <w:rsid w:val="00485EC0"/>
    <w:rsid w:val="00486494"/>
    <w:rsid w:val="004866F3"/>
    <w:rsid w:val="00486863"/>
    <w:rsid w:val="00486D13"/>
    <w:rsid w:val="0048777E"/>
    <w:rsid w:val="00491167"/>
    <w:rsid w:val="004925E4"/>
    <w:rsid w:val="00492803"/>
    <w:rsid w:val="0049420E"/>
    <w:rsid w:val="0049480C"/>
    <w:rsid w:val="00494969"/>
    <w:rsid w:val="00494FA9"/>
    <w:rsid w:val="0049646D"/>
    <w:rsid w:val="004A017D"/>
    <w:rsid w:val="004A0A61"/>
    <w:rsid w:val="004A1B7C"/>
    <w:rsid w:val="004A1D0F"/>
    <w:rsid w:val="004A25B8"/>
    <w:rsid w:val="004A2A25"/>
    <w:rsid w:val="004A32F5"/>
    <w:rsid w:val="004A597A"/>
    <w:rsid w:val="004A60B6"/>
    <w:rsid w:val="004A73F0"/>
    <w:rsid w:val="004A7628"/>
    <w:rsid w:val="004B0299"/>
    <w:rsid w:val="004B077D"/>
    <w:rsid w:val="004B0EB9"/>
    <w:rsid w:val="004B16E2"/>
    <w:rsid w:val="004B30C6"/>
    <w:rsid w:val="004B31E4"/>
    <w:rsid w:val="004B3EF2"/>
    <w:rsid w:val="004B5362"/>
    <w:rsid w:val="004B5875"/>
    <w:rsid w:val="004B5CBA"/>
    <w:rsid w:val="004B5F68"/>
    <w:rsid w:val="004B694C"/>
    <w:rsid w:val="004B73C5"/>
    <w:rsid w:val="004C0014"/>
    <w:rsid w:val="004C0984"/>
    <w:rsid w:val="004C0BD2"/>
    <w:rsid w:val="004C0E6D"/>
    <w:rsid w:val="004C1377"/>
    <w:rsid w:val="004C1556"/>
    <w:rsid w:val="004C1689"/>
    <w:rsid w:val="004C18B7"/>
    <w:rsid w:val="004C1E63"/>
    <w:rsid w:val="004C32E5"/>
    <w:rsid w:val="004C42C0"/>
    <w:rsid w:val="004C4C75"/>
    <w:rsid w:val="004C6745"/>
    <w:rsid w:val="004C678A"/>
    <w:rsid w:val="004C7980"/>
    <w:rsid w:val="004C7E31"/>
    <w:rsid w:val="004C7EBF"/>
    <w:rsid w:val="004D02AC"/>
    <w:rsid w:val="004D0AE9"/>
    <w:rsid w:val="004D17C9"/>
    <w:rsid w:val="004D17F7"/>
    <w:rsid w:val="004D1AF1"/>
    <w:rsid w:val="004D22AC"/>
    <w:rsid w:val="004D270A"/>
    <w:rsid w:val="004D3302"/>
    <w:rsid w:val="004D36C6"/>
    <w:rsid w:val="004D3799"/>
    <w:rsid w:val="004D3F3D"/>
    <w:rsid w:val="004D4407"/>
    <w:rsid w:val="004D4602"/>
    <w:rsid w:val="004D47C6"/>
    <w:rsid w:val="004D4A7A"/>
    <w:rsid w:val="004D5781"/>
    <w:rsid w:val="004D7023"/>
    <w:rsid w:val="004E0151"/>
    <w:rsid w:val="004E03FC"/>
    <w:rsid w:val="004E0634"/>
    <w:rsid w:val="004E1686"/>
    <w:rsid w:val="004E23EF"/>
    <w:rsid w:val="004E2B57"/>
    <w:rsid w:val="004E40D0"/>
    <w:rsid w:val="004E485B"/>
    <w:rsid w:val="004E53CC"/>
    <w:rsid w:val="004E611B"/>
    <w:rsid w:val="004E7901"/>
    <w:rsid w:val="004F09BD"/>
    <w:rsid w:val="004F0AC8"/>
    <w:rsid w:val="004F0B57"/>
    <w:rsid w:val="004F0C44"/>
    <w:rsid w:val="004F0FCA"/>
    <w:rsid w:val="004F15AD"/>
    <w:rsid w:val="004F16FA"/>
    <w:rsid w:val="004F1EF5"/>
    <w:rsid w:val="004F381F"/>
    <w:rsid w:val="004F3A72"/>
    <w:rsid w:val="004F45C5"/>
    <w:rsid w:val="004F4B1C"/>
    <w:rsid w:val="004F4B49"/>
    <w:rsid w:val="004F4EE0"/>
    <w:rsid w:val="004F60FE"/>
    <w:rsid w:val="004F6D60"/>
    <w:rsid w:val="005002E3"/>
    <w:rsid w:val="00500333"/>
    <w:rsid w:val="0050138F"/>
    <w:rsid w:val="00501A76"/>
    <w:rsid w:val="00501CFE"/>
    <w:rsid w:val="00502466"/>
    <w:rsid w:val="00502E24"/>
    <w:rsid w:val="00504695"/>
    <w:rsid w:val="00504D5D"/>
    <w:rsid w:val="00505761"/>
    <w:rsid w:val="00505C79"/>
    <w:rsid w:val="00505DDB"/>
    <w:rsid w:val="00511126"/>
    <w:rsid w:val="0051116C"/>
    <w:rsid w:val="00511894"/>
    <w:rsid w:val="005120B7"/>
    <w:rsid w:val="00514CE6"/>
    <w:rsid w:val="00515D5A"/>
    <w:rsid w:val="00516F15"/>
    <w:rsid w:val="005170B2"/>
    <w:rsid w:val="0052075A"/>
    <w:rsid w:val="00520AC7"/>
    <w:rsid w:val="00520E0B"/>
    <w:rsid w:val="00521024"/>
    <w:rsid w:val="005217F5"/>
    <w:rsid w:val="00521B1D"/>
    <w:rsid w:val="00522958"/>
    <w:rsid w:val="00522BBD"/>
    <w:rsid w:val="00522FB2"/>
    <w:rsid w:val="00523968"/>
    <w:rsid w:val="00523B53"/>
    <w:rsid w:val="00523CDF"/>
    <w:rsid w:val="005249F7"/>
    <w:rsid w:val="005268C4"/>
    <w:rsid w:val="00530424"/>
    <w:rsid w:val="00530724"/>
    <w:rsid w:val="00530F91"/>
    <w:rsid w:val="00531654"/>
    <w:rsid w:val="0053177A"/>
    <w:rsid w:val="005323DB"/>
    <w:rsid w:val="00533E0D"/>
    <w:rsid w:val="005345ED"/>
    <w:rsid w:val="005349C7"/>
    <w:rsid w:val="00534C40"/>
    <w:rsid w:val="0053558A"/>
    <w:rsid w:val="0053591A"/>
    <w:rsid w:val="00535E89"/>
    <w:rsid w:val="00536596"/>
    <w:rsid w:val="00537CE1"/>
    <w:rsid w:val="00537FB0"/>
    <w:rsid w:val="005403F4"/>
    <w:rsid w:val="00541026"/>
    <w:rsid w:val="00541222"/>
    <w:rsid w:val="0054184A"/>
    <w:rsid w:val="0054188B"/>
    <w:rsid w:val="00541E6C"/>
    <w:rsid w:val="00542064"/>
    <w:rsid w:val="00542513"/>
    <w:rsid w:val="00542979"/>
    <w:rsid w:val="00542BC4"/>
    <w:rsid w:val="005431C1"/>
    <w:rsid w:val="005435AC"/>
    <w:rsid w:val="00543773"/>
    <w:rsid w:val="00544151"/>
    <w:rsid w:val="00544A4C"/>
    <w:rsid w:val="00546BB7"/>
    <w:rsid w:val="00550061"/>
    <w:rsid w:val="00551815"/>
    <w:rsid w:val="00552377"/>
    <w:rsid w:val="0055366A"/>
    <w:rsid w:val="0055367F"/>
    <w:rsid w:val="005536CA"/>
    <w:rsid w:val="00553858"/>
    <w:rsid w:val="0055483A"/>
    <w:rsid w:val="00554D61"/>
    <w:rsid w:val="00555302"/>
    <w:rsid w:val="005555D0"/>
    <w:rsid w:val="005560B0"/>
    <w:rsid w:val="00556B86"/>
    <w:rsid w:val="00556C52"/>
    <w:rsid w:val="00556E1E"/>
    <w:rsid w:val="00560BD8"/>
    <w:rsid w:val="005614EE"/>
    <w:rsid w:val="00562431"/>
    <w:rsid w:val="00563138"/>
    <w:rsid w:val="00564BEB"/>
    <w:rsid w:val="00564CF9"/>
    <w:rsid w:val="00565C83"/>
    <w:rsid w:val="00565E31"/>
    <w:rsid w:val="005662D3"/>
    <w:rsid w:val="00566883"/>
    <w:rsid w:val="00566D40"/>
    <w:rsid w:val="005709BA"/>
    <w:rsid w:val="00571402"/>
    <w:rsid w:val="00571427"/>
    <w:rsid w:val="00571C30"/>
    <w:rsid w:val="005720CE"/>
    <w:rsid w:val="005731C3"/>
    <w:rsid w:val="005735DA"/>
    <w:rsid w:val="005737EF"/>
    <w:rsid w:val="005742E6"/>
    <w:rsid w:val="0057519F"/>
    <w:rsid w:val="00575B07"/>
    <w:rsid w:val="005773E2"/>
    <w:rsid w:val="005816F8"/>
    <w:rsid w:val="00581E04"/>
    <w:rsid w:val="00581ECB"/>
    <w:rsid w:val="005834D2"/>
    <w:rsid w:val="00583CE2"/>
    <w:rsid w:val="005842E2"/>
    <w:rsid w:val="005847B2"/>
    <w:rsid w:val="00585E19"/>
    <w:rsid w:val="0058647F"/>
    <w:rsid w:val="005868A5"/>
    <w:rsid w:val="00587B1B"/>
    <w:rsid w:val="005900B7"/>
    <w:rsid w:val="00590432"/>
    <w:rsid w:val="00590827"/>
    <w:rsid w:val="00591C2A"/>
    <w:rsid w:val="00592587"/>
    <w:rsid w:val="005930A2"/>
    <w:rsid w:val="0059318C"/>
    <w:rsid w:val="0059737A"/>
    <w:rsid w:val="00597916"/>
    <w:rsid w:val="00597A81"/>
    <w:rsid w:val="00597C69"/>
    <w:rsid w:val="00597F87"/>
    <w:rsid w:val="005A009C"/>
    <w:rsid w:val="005A02B6"/>
    <w:rsid w:val="005A038B"/>
    <w:rsid w:val="005A19F3"/>
    <w:rsid w:val="005A1B4C"/>
    <w:rsid w:val="005A3745"/>
    <w:rsid w:val="005A37E4"/>
    <w:rsid w:val="005A40F2"/>
    <w:rsid w:val="005A4450"/>
    <w:rsid w:val="005A5F22"/>
    <w:rsid w:val="005A6FE4"/>
    <w:rsid w:val="005A7014"/>
    <w:rsid w:val="005B0262"/>
    <w:rsid w:val="005B0699"/>
    <w:rsid w:val="005B1CFE"/>
    <w:rsid w:val="005B3F1C"/>
    <w:rsid w:val="005B4E62"/>
    <w:rsid w:val="005B55DF"/>
    <w:rsid w:val="005B57C6"/>
    <w:rsid w:val="005B693C"/>
    <w:rsid w:val="005B6A59"/>
    <w:rsid w:val="005B70C9"/>
    <w:rsid w:val="005B747E"/>
    <w:rsid w:val="005C18BC"/>
    <w:rsid w:val="005C245F"/>
    <w:rsid w:val="005C28B7"/>
    <w:rsid w:val="005C3090"/>
    <w:rsid w:val="005C4A65"/>
    <w:rsid w:val="005C52B0"/>
    <w:rsid w:val="005C5622"/>
    <w:rsid w:val="005C5884"/>
    <w:rsid w:val="005C5DDC"/>
    <w:rsid w:val="005C633A"/>
    <w:rsid w:val="005C751C"/>
    <w:rsid w:val="005C775A"/>
    <w:rsid w:val="005D07C3"/>
    <w:rsid w:val="005D1534"/>
    <w:rsid w:val="005D1AAF"/>
    <w:rsid w:val="005D1B0D"/>
    <w:rsid w:val="005D1D93"/>
    <w:rsid w:val="005D239C"/>
    <w:rsid w:val="005D3464"/>
    <w:rsid w:val="005D3B07"/>
    <w:rsid w:val="005D3E60"/>
    <w:rsid w:val="005D4380"/>
    <w:rsid w:val="005D4AFA"/>
    <w:rsid w:val="005D4C0F"/>
    <w:rsid w:val="005D573D"/>
    <w:rsid w:val="005D614B"/>
    <w:rsid w:val="005D622B"/>
    <w:rsid w:val="005D64C0"/>
    <w:rsid w:val="005D7DBD"/>
    <w:rsid w:val="005E0514"/>
    <w:rsid w:val="005E0A37"/>
    <w:rsid w:val="005E0EA8"/>
    <w:rsid w:val="005E1676"/>
    <w:rsid w:val="005E234A"/>
    <w:rsid w:val="005E2C83"/>
    <w:rsid w:val="005E3EEA"/>
    <w:rsid w:val="005E57A6"/>
    <w:rsid w:val="005E68C1"/>
    <w:rsid w:val="005E73A2"/>
    <w:rsid w:val="005E78AD"/>
    <w:rsid w:val="005F0522"/>
    <w:rsid w:val="005F0FA3"/>
    <w:rsid w:val="005F14E4"/>
    <w:rsid w:val="005F16EE"/>
    <w:rsid w:val="005F1C7D"/>
    <w:rsid w:val="005F32A2"/>
    <w:rsid w:val="005F393C"/>
    <w:rsid w:val="005F42EE"/>
    <w:rsid w:val="005F4355"/>
    <w:rsid w:val="005F452C"/>
    <w:rsid w:val="005F46D1"/>
    <w:rsid w:val="005F46DC"/>
    <w:rsid w:val="005F5021"/>
    <w:rsid w:val="005F57FF"/>
    <w:rsid w:val="005F5AC4"/>
    <w:rsid w:val="005F648E"/>
    <w:rsid w:val="005F711B"/>
    <w:rsid w:val="005F7A3B"/>
    <w:rsid w:val="00600AD4"/>
    <w:rsid w:val="0060117A"/>
    <w:rsid w:val="00601D9E"/>
    <w:rsid w:val="006025A5"/>
    <w:rsid w:val="006031A9"/>
    <w:rsid w:val="0060367D"/>
    <w:rsid w:val="006038AA"/>
    <w:rsid w:val="00603E07"/>
    <w:rsid w:val="00604A33"/>
    <w:rsid w:val="00605BA3"/>
    <w:rsid w:val="00606E9B"/>
    <w:rsid w:val="00607F53"/>
    <w:rsid w:val="006102F0"/>
    <w:rsid w:val="006104CC"/>
    <w:rsid w:val="00610A96"/>
    <w:rsid w:val="00611787"/>
    <w:rsid w:val="00611D7D"/>
    <w:rsid w:val="00611F62"/>
    <w:rsid w:val="006125AC"/>
    <w:rsid w:val="00614A9C"/>
    <w:rsid w:val="00615AF9"/>
    <w:rsid w:val="00616094"/>
    <w:rsid w:val="00616983"/>
    <w:rsid w:val="00617B77"/>
    <w:rsid w:val="00617CAC"/>
    <w:rsid w:val="00617E75"/>
    <w:rsid w:val="0062055C"/>
    <w:rsid w:val="00621ACC"/>
    <w:rsid w:val="00621BE4"/>
    <w:rsid w:val="006221A9"/>
    <w:rsid w:val="00622395"/>
    <w:rsid w:val="00623429"/>
    <w:rsid w:val="006236A7"/>
    <w:rsid w:val="00624899"/>
    <w:rsid w:val="0062492A"/>
    <w:rsid w:val="00624B8A"/>
    <w:rsid w:val="00625AAA"/>
    <w:rsid w:val="00626319"/>
    <w:rsid w:val="00626426"/>
    <w:rsid w:val="00630325"/>
    <w:rsid w:val="00630447"/>
    <w:rsid w:val="00630C57"/>
    <w:rsid w:val="00631B16"/>
    <w:rsid w:val="006321C5"/>
    <w:rsid w:val="00633B8C"/>
    <w:rsid w:val="0063432A"/>
    <w:rsid w:val="00635B12"/>
    <w:rsid w:val="00635F13"/>
    <w:rsid w:val="006364E4"/>
    <w:rsid w:val="00636ACE"/>
    <w:rsid w:val="006404E1"/>
    <w:rsid w:val="00640B58"/>
    <w:rsid w:val="00641AB9"/>
    <w:rsid w:val="00642994"/>
    <w:rsid w:val="00643F60"/>
    <w:rsid w:val="0064469F"/>
    <w:rsid w:val="0064487B"/>
    <w:rsid w:val="00644946"/>
    <w:rsid w:val="00644ECF"/>
    <w:rsid w:val="006454AB"/>
    <w:rsid w:val="006470C5"/>
    <w:rsid w:val="00647305"/>
    <w:rsid w:val="00647DA9"/>
    <w:rsid w:val="00650054"/>
    <w:rsid w:val="00650271"/>
    <w:rsid w:val="0065099F"/>
    <w:rsid w:val="00650BB9"/>
    <w:rsid w:val="00651034"/>
    <w:rsid w:val="0065130C"/>
    <w:rsid w:val="0065169E"/>
    <w:rsid w:val="0065433B"/>
    <w:rsid w:val="006548C7"/>
    <w:rsid w:val="00655B20"/>
    <w:rsid w:val="00655DF1"/>
    <w:rsid w:val="006566E2"/>
    <w:rsid w:val="00657DF8"/>
    <w:rsid w:val="00662F7D"/>
    <w:rsid w:val="00663157"/>
    <w:rsid w:val="00663C68"/>
    <w:rsid w:val="00664336"/>
    <w:rsid w:val="00665680"/>
    <w:rsid w:val="006667FB"/>
    <w:rsid w:val="00667182"/>
    <w:rsid w:val="0067005D"/>
    <w:rsid w:val="00670CB4"/>
    <w:rsid w:val="00670F97"/>
    <w:rsid w:val="0067184F"/>
    <w:rsid w:val="00672891"/>
    <w:rsid w:val="0067315C"/>
    <w:rsid w:val="006731EE"/>
    <w:rsid w:val="00673F6D"/>
    <w:rsid w:val="006750E2"/>
    <w:rsid w:val="00676181"/>
    <w:rsid w:val="00676FC0"/>
    <w:rsid w:val="0067793F"/>
    <w:rsid w:val="00681498"/>
    <w:rsid w:val="006816B6"/>
    <w:rsid w:val="00681959"/>
    <w:rsid w:val="00681C2F"/>
    <w:rsid w:val="006828F4"/>
    <w:rsid w:val="00682C8C"/>
    <w:rsid w:val="0068336F"/>
    <w:rsid w:val="00684021"/>
    <w:rsid w:val="0068413A"/>
    <w:rsid w:val="00684890"/>
    <w:rsid w:val="0068531C"/>
    <w:rsid w:val="00685709"/>
    <w:rsid w:val="0068610A"/>
    <w:rsid w:val="006861EC"/>
    <w:rsid w:val="00686376"/>
    <w:rsid w:val="00686AF3"/>
    <w:rsid w:val="00687CF3"/>
    <w:rsid w:val="00690DFA"/>
    <w:rsid w:val="00691C40"/>
    <w:rsid w:val="006930B1"/>
    <w:rsid w:val="00693558"/>
    <w:rsid w:val="00693B73"/>
    <w:rsid w:val="00694103"/>
    <w:rsid w:val="00695454"/>
    <w:rsid w:val="00695FA4"/>
    <w:rsid w:val="006966B1"/>
    <w:rsid w:val="00696DC6"/>
    <w:rsid w:val="006A035F"/>
    <w:rsid w:val="006A0CC7"/>
    <w:rsid w:val="006A1A4E"/>
    <w:rsid w:val="006A1A76"/>
    <w:rsid w:val="006A1EBA"/>
    <w:rsid w:val="006A2011"/>
    <w:rsid w:val="006A28E8"/>
    <w:rsid w:val="006A2FCA"/>
    <w:rsid w:val="006A423A"/>
    <w:rsid w:val="006A4551"/>
    <w:rsid w:val="006A4610"/>
    <w:rsid w:val="006A5876"/>
    <w:rsid w:val="006A5F6F"/>
    <w:rsid w:val="006A6D0C"/>
    <w:rsid w:val="006B04DE"/>
    <w:rsid w:val="006B24E5"/>
    <w:rsid w:val="006B2F1F"/>
    <w:rsid w:val="006B3577"/>
    <w:rsid w:val="006B3DDA"/>
    <w:rsid w:val="006B520B"/>
    <w:rsid w:val="006B561C"/>
    <w:rsid w:val="006B5808"/>
    <w:rsid w:val="006B595A"/>
    <w:rsid w:val="006B6CC7"/>
    <w:rsid w:val="006B6DBF"/>
    <w:rsid w:val="006C16E0"/>
    <w:rsid w:val="006C18F4"/>
    <w:rsid w:val="006C232F"/>
    <w:rsid w:val="006C2B95"/>
    <w:rsid w:val="006C359A"/>
    <w:rsid w:val="006C3F59"/>
    <w:rsid w:val="006C412F"/>
    <w:rsid w:val="006C5F8D"/>
    <w:rsid w:val="006C6421"/>
    <w:rsid w:val="006C6460"/>
    <w:rsid w:val="006C66A3"/>
    <w:rsid w:val="006C6F7F"/>
    <w:rsid w:val="006D0DC9"/>
    <w:rsid w:val="006D166A"/>
    <w:rsid w:val="006D1944"/>
    <w:rsid w:val="006D2B75"/>
    <w:rsid w:val="006D2DFB"/>
    <w:rsid w:val="006D31A6"/>
    <w:rsid w:val="006D3C5E"/>
    <w:rsid w:val="006D4DA8"/>
    <w:rsid w:val="006D4E65"/>
    <w:rsid w:val="006D6470"/>
    <w:rsid w:val="006D6C5E"/>
    <w:rsid w:val="006D7108"/>
    <w:rsid w:val="006D7186"/>
    <w:rsid w:val="006D7655"/>
    <w:rsid w:val="006D7F82"/>
    <w:rsid w:val="006E0566"/>
    <w:rsid w:val="006E0BD0"/>
    <w:rsid w:val="006E0F94"/>
    <w:rsid w:val="006E2E9B"/>
    <w:rsid w:val="006E308D"/>
    <w:rsid w:val="006E3EBE"/>
    <w:rsid w:val="006E4923"/>
    <w:rsid w:val="006E6F23"/>
    <w:rsid w:val="006F166A"/>
    <w:rsid w:val="006F310E"/>
    <w:rsid w:val="006F311A"/>
    <w:rsid w:val="006F3C20"/>
    <w:rsid w:val="006F4A8B"/>
    <w:rsid w:val="006F58CC"/>
    <w:rsid w:val="006F67C3"/>
    <w:rsid w:val="006F699C"/>
    <w:rsid w:val="006F6C92"/>
    <w:rsid w:val="006F74AF"/>
    <w:rsid w:val="006F7914"/>
    <w:rsid w:val="006F7D7A"/>
    <w:rsid w:val="007000A3"/>
    <w:rsid w:val="007005BF"/>
    <w:rsid w:val="00700CB1"/>
    <w:rsid w:val="00701511"/>
    <w:rsid w:val="00701E78"/>
    <w:rsid w:val="00701FF2"/>
    <w:rsid w:val="0070315C"/>
    <w:rsid w:val="0070317D"/>
    <w:rsid w:val="007035DF"/>
    <w:rsid w:val="007046F4"/>
    <w:rsid w:val="00705235"/>
    <w:rsid w:val="0070562A"/>
    <w:rsid w:val="00705C85"/>
    <w:rsid w:val="00706259"/>
    <w:rsid w:val="007065B8"/>
    <w:rsid w:val="0070711B"/>
    <w:rsid w:val="007076B7"/>
    <w:rsid w:val="007078DF"/>
    <w:rsid w:val="00707F25"/>
    <w:rsid w:val="0071024E"/>
    <w:rsid w:val="00710D0F"/>
    <w:rsid w:val="007116EC"/>
    <w:rsid w:val="00711B0F"/>
    <w:rsid w:val="00711F01"/>
    <w:rsid w:val="00711FE5"/>
    <w:rsid w:val="0071256E"/>
    <w:rsid w:val="00712949"/>
    <w:rsid w:val="00712E93"/>
    <w:rsid w:val="00713E5E"/>
    <w:rsid w:val="00713F31"/>
    <w:rsid w:val="00714071"/>
    <w:rsid w:val="0071411A"/>
    <w:rsid w:val="00714BE6"/>
    <w:rsid w:val="00715229"/>
    <w:rsid w:val="00716DE8"/>
    <w:rsid w:val="00717741"/>
    <w:rsid w:val="00717801"/>
    <w:rsid w:val="00720AEB"/>
    <w:rsid w:val="00721A09"/>
    <w:rsid w:val="00721F3A"/>
    <w:rsid w:val="007220C4"/>
    <w:rsid w:val="0072372A"/>
    <w:rsid w:val="00724115"/>
    <w:rsid w:val="00724179"/>
    <w:rsid w:val="007247A7"/>
    <w:rsid w:val="00726C92"/>
    <w:rsid w:val="00727E51"/>
    <w:rsid w:val="00731A25"/>
    <w:rsid w:val="00731B97"/>
    <w:rsid w:val="00732A88"/>
    <w:rsid w:val="00733470"/>
    <w:rsid w:val="00734B29"/>
    <w:rsid w:val="00734BA8"/>
    <w:rsid w:val="00734BEC"/>
    <w:rsid w:val="00734CD9"/>
    <w:rsid w:val="00735445"/>
    <w:rsid w:val="00735520"/>
    <w:rsid w:val="007358C7"/>
    <w:rsid w:val="00736C19"/>
    <w:rsid w:val="00736E0D"/>
    <w:rsid w:val="00737876"/>
    <w:rsid w:val="00737B2A"/>
    <w:rsid w:val="0074047C"/>
    <w:rsid w:val="00740D5B"/>
    <w:rsid w:val="00740ED1"/>
    <w:rsid w:val="00741328"/>
    <w:rsid w:val="00741933"/>
    <w:rsid w:val="00741A68"/>
    <w:rsid w:val="007423AE"/>
    <w:rsid w:val="00743325"/>
    <w:rsid w:val="007452C5"/>
    <w:rsid w:val="00745350"/>
    <w:rsid w:val="00745523"/>
    <w:rsid w:val="0074606D"/>
    <w:rsid w:val="00746DB4"/>
    <w:rsid w:val="0074789B"/>
    <w:rsid w:val="0075031B"/>
    <w:rsid w:val="00750432"/>
    <w:rsid w:val="00750C07"/>
    <w:rsid w:val="00751191"/>
    <w:rsid w:val="00751434"/>
    <w:rsid w:val="00751D68"/>
    <w:rsid w:val="00752997"/>
    <w:rsid w:val="00752FC2"/>
    <w:rsid w:val="00753C1A"/>
    <w:rsid w:val="00755F17"/>
    <w:rsid w:val="00756478"/>
    <w:rsid w:val="0075767D"/>
    <w:rsid w:val="0075769E"/>
    <w:rsid w:val="007576F8"/>
    <w:rsid w:val="00760766"/>
    <w:rsid w:val="00761AC3"/>
    <w:rsid w:val="007622C8"/>
    <w:rsid w:val="00762371"/>
    <w:rsid w:val="0076253D"/>
    <w:rsid w:val="00762E4F"/>
    <w:rsid w:val="00762E70"/>
    <w:rsid w:val="00763313"/>
    <w:rsid w:val="0076372D"/>
    <w:rsid w:val="007638F5"/>
    <w:rsid w:val="007644E4"/>
    <w:rsid w:val="00764561"/>
    <w:rsid w:val="0076475B"/>
    <w:rsid w:val="00766205"/>
    <w:rsid w:val="007663E1"/>
    <w:rsid w:val="007664E5"/>
    <w:rsid w:val="007665AA"/>
    <w:rsid w:val="00766F48"/>
    <w:rsid w:val="00767476"/>
    <w:rsid w:val="007674E0"/>
    <w:rsid w:val="00767BD9"/>
    <w:rsid w:val="0077006A"/>
    <w:rsid w:val="00770544"/>
    <w:rsid w:val="007707F3"/>
    <w:rsid w:val="00771389"/>
    <w:rsid w:val="00771725"/>
    <w:rsid w:val="00771866"/>
    <w:rsid w:val="00771D91"/>
    <w:rsid w:val="0077245D"/>
    <w:rsid w:val="007730DD"/>
    <w:rsid w:val="0077494C"/>
    <w:rsid w:val="00774CAC"/>
    <w:rsid w:val="00774D77"/>
    <w:rsid w:val="0077507D"/>
    <w:rsid w:val="00776659"/>
    <w:rsid w:val="00776D5C"/>
    <w:rsid w:val="0078123D"/>
    <w:rsid w:val="00781DD7"/>
    <w:rsid w:val="0078232A"/>
    <w:rsid w:val="00782851"/>
    <w:rsid w:val="00782DBD"/>
    <w:rsid w:val="00783904"/>
    <w:rsid w:val="007848A6"/>
    <w:rsid w:val="00784C2F"/>
    <w:rsid w:val="00784E18"/>
    <w:rsid w:val="00785772"/>
    <w:rsid w:val="00785844"/>
    <w:rsid w:val="00785A0B"/>
    <w:rsid w:val="00786316"/>
    <w:rsid w:val="00787A1D"/>
    <w:rsid w:val="00787A3F"/>
    <w:rsid w:val="007900E4"/>
    <w:rsid w:val="00790BA8"/>
    <w:rsid w:val="00790C5C"/>
    <w:rsid w:val="00790C88"/>
    <w:rsid w:val="00791BC9"/>
    <w:rsid w:val="00792025"/>
    <w:rsid w:val="00793571"/>
    <w:rsid w:val="007938C7"/>
    <w:rsid w:val="007942EE"/>
    <w:rsid w:val="00794A91"/>
    <w:rsid w:val="0079564D"/>
    <w:rsid w:val="00795BB7"/>
    <w:rsid w:val="00795DF5"/>
    <w:rsid w:val="007966F4"/>
    <w:rsid w:val="00796732"/>
    <w:rsid w:val="00796784"/>
    <w:rsid w:val="00796A65"/>
    <w:rsid w:val="00797BDD"/>
    <w:rsid w:val="007A1461"/>
    <w:rsid w:val="007A18A1"/>
    <w:rsid w:val="007A2274"/>
    <w:rsid w:val="007A2FDF"/>
    <w:rsid w:val="007A3C45"/>
    <w:rsid w:val="007A4A68"/>
    <w:rsid w:val="007A5680"/>
    <w:rsid w:val="007A56F8"/>
    <w:rsid w:val="007A62DA"/>
    <w:rsid w:val="007A70F4"/>
    <w:rsid w:val="007B05E9"/>
    <w:rsid w:val="007B07CB"/>
    <w:rsid w:val="007B246C"/>
    <w:rsid w:val="007B253E"/>
    <w:rsid w:val="007B38FD"/>
    <w:rsid w:val="007B4052"/>
    <w:rsid w:val="007B414E"/>
    <w:rsid w:val="007B424B"/>
    <w:rsid w:val="007B4AA7"/>
    <w:rsid w:val="007B50A8"/>
    <w:rsid w:val="007B739C"/>
    <w:rsid w:val="007B79F9"/>
    <w:rsid w:val="007B7BE6"/>
    <w:rsid w:val="007B7EA0"/>
    <w:rsid w:val="007B7F20"/>
    <w:rsid w:val="007C101D"/>
    <w:rsid w:val="007C181C"/>
    <w:rsid w:val="007C2662"/>
    <w:rsid w:val="007C29AB"/>
    <w:rsid w:val="007C2A5E"/>
    <w:rsid w:val="007C6745"/>
    <w:rsid w:val="007C6AAD"/>
    <w:rsid w:val="007C6AAE"/>
    <w:rsid w:val="007D053B"/>
    <w:rsid w:val="007D1090"/>
    <w:rsid w:val="007D13A0"/>
    <w:rsid w:val="007D1440"/>
    <w:rsid w:val="007D1DEE"/>
    <w:rsid w:val="007D24DE"/>
    <w:rsid w:val="007D2C4E"/>
    <w:rsid w:val="007D3728"/>
    <w:rsid w:val="007D38C8"/>
    <w:rsid w:val="007D54F6"/>
    <w:rsid w:val="007D5AA6"/>
    <w:rsid w:val="007D5E50"/>
    <w:rsid w:val="007D76BF"/>
    <w:rsid w:val="007D7AA5"/>
    <w:rsid w:val="007E01D9"/>
    <w:rsid w:val="007E036D"/>
    <w:rsid w:val="007E082A"/>
    <w:rsid w:val="007E0942"/>
    <w:rsid w:val="007E0CBC"/>
    <w:rsid w:val="007E11A2"/>
    <w:rsid w:val="007E13CD"/>
    <w:rsid w:val="007E1D21"/>
    <w:rsid w:val="007E2C2D"/>
    <w:rsid w:val="007E31B0"/>
    <w:rsid w:val="007E3F12"/>
    <w:rsid w:val="007E41E5"/>
    <w:rsid w:val="007E4E3D"/>
    <w:rsid w:val="007E52F3"/>
    <w:rsid w:val="007E5877"/>
    <w:rsid w:val="007E6056"/>
    <w:rsid w:val="007E667C"/>
    <w:rsid w:val="007E7871"/>
    <w:rsid w:val="007F06AE"/>
    <w:rsid w:val="007F1298"/>
    <w:rsid w:val="007F198B"/>
    <w:rsid w:val="007F1C8A"/>
    <w:rsid w:val="007F27B4"/>
    <w:rsid w:val="007F3CF1"/>
    <w:rsid w:val="007F42EC"/>
    <w:rsid w:val="007F4765"/>
    <w:rsid w:val="007F5476"/>
    <w:rsid w:val="007F62CF"/>
    <w:rsid w:val="007F653F"/>
    <w:rsid w:val="007F68AA"/>
    <w:rsid w:val="007F7154"/>
    <w:rsid w:val="007F7671"/>
    <w:rsid w:val="007F7AE0"/>
    <w:rsid w:val="007F7F7E"/>
    <w:rsid w:val="008001E7"/>
    <w:rsid w:val="00800712"/>
    <w:rsid w:val="0080089A"/>
    <w:rsid w:val="00800A78"/>
    <w:rsid w:val="00801967"/>
    <w:rsid w:val="00802C5D"/>
    <w:rsid w:val="008030EF"/>
    <w:rsid w:val="0080361C"/>
    <w:rsid w:val="00803739"/>
    <w:rsid w:val="008039E7"/>
    <w:rsid w:val="00803D0D"/>
    <w:rsid w:val="00806592"/>
    <w:rsid w:val="00806E82"/>
    <w:rsid w:val="00810200"/>
    <w:rsid w:val="00810233"/>
    <w:rsid w:val="008107EB"/>
    <w:rsid w:val="008117E7"/>
    <w:rsid w:val="008133FA"/>
    <w:rsid w:val="008150C0"/>
    <w:rsid w:val="00816087"/>
    <w:rsid w:val="00816147"/>
    <w:rsid w:val="00816DCA"/>
    <w:rsid w:val="008172E8"/>
    <w:rsid w:val="008203D4"/>
    <w:rsid w:val="00820B09"/>
    <w:rsid w:val="0082236F"/>
    <w:rsid w:val="00822699"/>
    <w:rsid w:val="0082298C"/>
    <w:rsid w:val="00823961"/>
    <w:rsid w:val="00823F35"/>
    <w:rsid w:val="008249AA"/>
    <w:rsid w:val="00825CBF"/>
    <w:rsid w:val="00825CD7"/>
    <w:rsid w:val="00825DBF"/>
    <w:rsid w:val="00827724"/>
    <w:rsid w:val="00827BB9"/>
    <w:rsid w:val="00827C68"/>
    <w:rsid w:val="0083019D"/>
    <w:rsid w:val="008307EF"/>
    <w:rsid w:val="008308B9"/>
    <w:rsid w:val="00831172"/>
    <w:rsid w:val="00831FC8"/>
    <w:rsid w:val="00833331"/>
    <w:rsid w:val="00833471"/>
    <w:rsid w:val="008343DA"/>
    <w:rsid w:val="0083461B"/>
    <w:rsid w:val="0083491C"/>
    <w:rsid w:val="00834D9E"/>
    <w:rsid w:val="00835735"/>
    <w:rsid w:val="00835DFB"/>
    <w:rsid w:val="00836CD8"/>
    <w:rsid w:val="00841A61"/>
    <w:rsid w:val="00841DEF"/>
    <w:rsid w:val="00842EB4"/>
    <w:rsid w:val="00844AD7"/>
    <w:rsid w:val="00844B3C"/>
    <w:rsid w:val="00844DC5"/>
    <w:rsid w:val="00844ED2"/>
    <w:rsid w:val="00845B40"/>
    <w:rsid w:val="00845C92"/>
    <w:rsid w:val="0084682D"/>
    <w:rsid w:val="0084730C"/>
    <w:rsid w:val="00847CA9"/>
    <w:rsid w:val="00847CB8"/>
    <w:rsid w:val="00847CCD"/>
    <w:rsid w:val="00850621"/>
    <w:rsid w:val="00852EC3"/>
    <w:rsid w:val="008535CE"/>
    <w:rsid w:val="00853919"/>
    <w:rsid w:val="0085469E"/>
    <w:rsid w:val="00854CC9"/>
    <w:rsid w:val="00855369"/>
    <w:rsid w:val="00857067"/>
    <w:rsid w:val="0086161C"/>
    <w:rsid w:val="008619D5"/>
    <w:rsid w:val="00862617"/>
    <w:rsid w:val="00862B7C"/>
    <w:rsid w:val="00862D48"/>
    <w:rsid w:val="0086397F"/>
    <w:rsid w:val="0086480A"/>
    <w:rsid w:val="00865798"/>
    <w:rsid w:val="00866D0E"/>
    <w:rsid w:val="00866F3B"/>
    <w:rsid w:val="00867187"/>
    <w:rsid w:val="0087004F"/>
    <w:rsid w:val="008705A9"/>
    <w:rsid w:val="008719EA"/>
    <w:rsid w:val="00872134"/>
    <w:rsid w:val="008732FD"/>
    <w:rsid w:val="00873D49"/>
    <w:rsid w:val="00874CC0"/>
    <w:rsid w:val="008756B6"/>
    <w:rsid w:val="00875C50"/>
    <w:rsid w:val="00875F39"/>
    <w:rsid w:val="008761A8"/>
    <w:rsid w:val="0087701B"/>
    <w:rsid w:val="00877214"/>
    <w:rsid w:val="00877410"/>
    <w:rsid w:val="00877807"/>
    <w:rsid w:val="00877F5E"/>
    <w:rsid w:val="00880057"/>
    <w:rsid w:val="00880BA6"/>
    <w:rsid w:val="008824FE"/>
    <w:rsid w:val="00882887"/>
    <w:rsid w:val="008829AC"/>
    <w:rsid w:val="00883570"/>
    <w:rsid w:val="00884453"/>
    <w:rsid w:val="00884900"/>
    <w:rsid w:val="0088598F"/>
    <w:rsid w:val="00885B42"/>
    <w:rsid w:val="00886B62"/>
    <w:rsid w:val="00887996"/>
    <w:rsid w:val="00890BEC"/>
    <w:rsid w:val="00891996"/>
    <w:rsid w:val="008935C4"/>
    <w:rsid w:val="00894DB0"/>
    <w:rsid w:val="00894F9C"/>
    <w:rsid w:val="008955D8"/>
    <w:rsid w:val="00895605"/>
    <w:rsid w:val="008A0D50"/>
    <w:rsid w:val="008A11FA"/>
    <w:rsid w:val="008A1964"/>
    <w:rsid w:val="008A19D3"/>
    <w:rsid w:val="008A2F94"/>
    <w:rsid w:val="008A31AC"/>
    <w:rsid w:val="008A43B9"/>
    <w:rsid w:val="008A4DD6"/>
    <w:rsid w:val="008A64A0"/>
    <w:rsid w:val="008A7055"/>
    <w:rsid w:val="008A7B21"/>
    <w:rsid w:val="008B03D9"/>
    <w:rsid w:val="008B0C20"/>
    <w:rsid w:val="008B0F54"/>
    <w:rsid w:val="008B1197"/>
    <w:rsid w:val="008B2F65"/>
    <w:rsid w:val="008B4867"/>
    <w:rsid w:val="008B4BB2"/>
    <w:rsid w:val="008B4E91"/>
    <w:rsid w:val="008B5CA5"/>
    <w:rsid w:val="008B660E"/>
    <w:rsid w:val="008B781D"/>
    <w:rsid w:val="008C05AA"/>
    <w:rsid w:val="008C0684"/>
    <w:rsid w:val="008C0791"/>
    <w:rsid w:val="008C0982"/>
    <w:rsid w:val="008C1A43"/>
    <w:rsid w:val="008C24F3"/>
    <w:rsid w:val="008C33C4"/>
    <w:rsid w:val="008C3904"/>
    <w:rsid w:val="008C3A15"/>
    <w:rsid w:val="008C4ABC"/>
    <w:rsid w:val="008C5C7C"/>
    <w:rsid w:val="008C5D8B"/>
    <w:rsid w:val="008C5E28"/>
    <w:rsid w:val="008C60F6"/>
    <w:rsid w:val="008C6210"/>
    <w:rsid w:val="008C6530"/>
    <w:rsid w:val="008C7AC0"/>
    <w:rsid w:val="008D0552"/>
    <w:rsid w:val="008D0553"/>
    <w:rsid w:val="008D05BA"/>
    <w:rsid w:val="008D0961"/>
    <w:rsid w:val="008D0E66"/>
    <w:rsid w:val="008D0E8F"/>
    <w:rsid w:val="008D1073"/>
    <w:rsid w:val="008D1B99"/>
    <w:rsid w:val="008D2941"/>
    <w:rsid w:val="008D2A09"/>
    <w:rsid w:val="008D2BEF"/>
    <w:rsid w:val="008D347B"/>
    <w:rsid w:val="008D35A5"/>
    <w:rsid w:val="008D41CD"/>
    <w:rsid w:val="008D431C"/>
    <w:rsid w:val="008D43E9"/>
    <w:rsid w:val="008D4929"/>
    <w:rsid w:val="008D4FEE"/>
    <w:rsid w:val="008D6EDF"/>
    <w:rsid w:val="008D7655"/>
    <w:rsid w:val="008E0591"/>
    <w:rsid w:val="008E0D04"/>
    <w:rsid w:val="008E0E76"/>
    <w:rsid w:val="008E10F3"/>
    <w:rsid w:val="008E1B18"/>
    <w:rsid w:val="008E1E27"/>
    <w:rsid w:val="008E3697"/>
    <w:rsid w:val="008E3C5E"/>
    <w:rsid w:val="008E3F60"/>
    <w:rsid w:val="008E5C5B"/>
    <w:rsid w:val="008E60B3"/>
    <w:rsid w:val="008E612E"/>
    <w:rsid w:val="008E68F2"/>
    <w:rsid w:val="008E74C6"/>
    <w:rsid w:val="008E7E81"/>
    <w:rsid w:val="008F024A"/>
    <w:rsid w:val="008F074F"/>
    <w:rsid w:val="008F0DB5"/>
    <w:rsid w:val="008F2460"/>
    <w:rsid w:val="008F248C"/>
    <w:rsid w:val="008F3029"/>
    <w:rsid w:val="008F3206"/>
    <w:rsid w:val="008F35D2"/>
    <w:rsid w:val="008F4EF6"/>
    <w:rsid w:val="008F4F5A"/>
    <w:rsid w:val="008F5C57"/>
    <w:rsid w:val="008F5C7D"/>
    <w:rsid w:val="008F6E80"/>
    <w:rsid w:val="008F7C23"/>
    <w:rsid w:val="00900926"/>
    <w:rsid w:val="0090100D"/>
    <w:rsid w:val="0090175F"/>
    <w:rsid w:val="00902A39"/>
    <w:rsid w:val="00902C24"/>
    <w:rsid w:val="00902C3B"/>
    <w:rsid w:val="00903196"/>
    <w:rsid w:val="00903B4F"/>
    <w:rsid w:val="00903BD8"/>
    <w:rsid w:val="00903D1F"/>
    <w:rsid w:val="00903E69"/>
    <w:rsid w:val="00903F5F"/>
    <w:rsid w:val="00904FCC"/>
    <w:rsid w:val="00905B16"/>
    <w:rsid w:val="00907B44"/>
    <w:rsid w:val="009115AD"/>
    <w:rsid w:val="00911657"/>
    <w:rsid w:val="009118D6"/>
    <w:rsid w:val="00911A53"/>
    <w:rsid w:val="009123D4"/>
    <w:rsid w:val="00912520"/>
    <w:rsid w:val="009127DD"/>
    <w:rsid w:val="00912D50"/>
    <w:rsid w:val="009137B3"/>
    <w:rsid w:val="00914D69"/>
    <w:rsid w:val="00916289"/>
    <w:rsid w:val="00916C81"/>
    <w:rsid w:val="00917ED4"/>
    <w:rsid w:val="00920B3E"/>
    <w:rsid w:val="00922228"/>
    <w:rsid w:val="00922BD0"/>
    <w:rsid w:val="00923324"/>
    <w:rsid w:val="00923F5C"/>
    <w:rsid w:val="00924416"/>
    <w:rsid w:val="00924486"/>
    <w:rsid w:val="00924BD7"/>
    <w:rsid w:val="00924C5A"/>
    <w:rsid w:val="00925044"/>
    <w:rsid w:val="00926088"/>
    <w:rsid w:val="009278D4"/>
    <w:rsid w:val="00927B28"/>
    <w:rsid w:val="00930CA6"/>
    <w:rsid w:val="00930D6C"/>
    <w:rsid w:val="00931679"/>
    <w:rsid w:val="00931AB1"/>
    <w:rsid w:val="00931EED"/>
    <w:rsid w:val="00932C7F"/>
    <w:rsid w:val="00932D0D"/>
    <w:rsid w:val="009331F3"/>
    <w:rsid w:val="00933991"/>
    <w:rsid w:val="00934133"/>
    <w:rsid w:val="00935EC8"/>
    <w:rsid w:val="0093600A"/>
    <w:rsid w:val="00936C3F"/>
    <w:rsid w:val="00937740"/>
    <w:rsid w:val="00940250"/>
    <w:rsid w:val="00940B80"/>
    <w:rsid w:val="00941F28"/>
    <w:rsid w:val="0094207D"/>
    <w:rsid w:val="00942B18"/>
    <w:rsid w:val="00942B36"/>
    <w:rsid w:val="00943216"/>
    <w:rsid w:val="0094477A"/>
    <w:rsid w:val="00945249"/>
    <w:rsid w:val="00945283"/>
    <w:rsid w:val="00945C55"/>
    <w:rsid w:val="00945CE2"/>
    <w:rsid w:val="0095059C"/>
    <w:rsid w:val="00950B6B"/>
    <w:rsid w:val="00951002"/>
    <w:rsid w:val="00951503"/>
    <w:rsid w:val="009522E5"/>
    <w:rsid w:val="00952E75"/>
    <w:rsid w:val="009532B7"/>
    <w:rsid w:val="00953711"/>
    <w:rsid w:val="00953C63"/>
    <w:rsid w:val="00953D89"/>
    <w:rsid w:val="009549FB"/>
    <w:rsid w:val="00954E04"/>
    <w:rsid w:val="009550E4"/>
    <w:rsid w:val="009558A7"/>
    <w:rsid w:val="00955D7E"/>
    <w:rsid w:val="00955F08"/>
    <w:rsid w:val="0095729B"/>
    <w:rsid w:val="00957A37"/>
    <w:rsid w:val="00960854"/>
    <w:rsid w:val="00960955"/>
    <w:rsid w:val="00960F65"/>
    <w:rsid w:val="00961667"/>
    <w:rsid w:val="00961C9F"/>
    <w:rsid w:val="009621FE"/>
    <w:rsid w:val="009628A1"/>
    <w:rsid w:val="009628C8"/>
    <w:rsid w:val="00962F7E"/>
    <w:rsid w:val="00963A5F"/>
    <w:rsid w:val="009646F7"/>
    <w:rsid w:val="00964800"/>
    <w:rsid w:val="00964BD3"/>
    <w:rsid w:val="00964D73"/>
    <w:rsid w:val="0096507A"/>
    <w:rsid w:val="00965C33"/>
    <w:rsid w:val="00966344"/>
    <w:rsid w:val="00967022"/>
    <w:rsid w:val="00967782"/>
    <w:rsid w:val="00967B17"/>
    <w:rsid w:val="00970398"/>
    <w:rsid w:val="009706AE"/>
    <w:rsid w:val="0097140A"/>
    <w:rsid w:val="0097255B"/>
    <w:rsid w:val="00973CEB"/>
    <w:rsid w:val="00973D01"/>
    <w:rsid w:val="0097595F"/>
    <w:rsid w:val="00975D78"/>
    <w:rsid w:val="009762F1"/>
    <w:rsid w:val="009764A6"/>
    <w:rsid w:val="009767BE"/>
    <w:rsid w:val="00976EED"/>
    <w:rsid w:val="00977769"/>
    <w:rsid w:val="00977AB0"/>
    <w:rsid w:val="009802D7"/>
    <w:rsid w:val="00980BC6"/>
    <w:rsid w:val="00980DD1"/>
    <w:rsid w:val="00981149"/>
    <w:rsid w:val="00981301"/>
    <w:rsid w:val="00981BDD"/>
    <w:rsid w:val="00981D1A"/>
    <w:rsid w:val="00982636"/>
    <w:rsid w:val="00982D2F"/>
    <w:rsid w:val="00983112"/>
    <w:rsid w:val="0098312D"/>
    <w:rsid w:val="009831D1"/>
    <w:rsid w:val="009840AE"/>
    <w:rsid w:val="00985E4D"/>
    <w:rsid w:val="009873EB"/>
    <w:rsid w:val="009879F3"/>
    <w:rsid w:val="00990A4C"/>
    <w:rsid w:val="00991B99"/>
    <w:rsid w:val="0099367A"/>
    <w:rsid w:val="00993912"/>
    <w:rsid w:val="00993B0C"/>
    <w:rsid w:val="00994A7D"/>
    <w:rsid w:val="00994D7C"/>
    <w:rsid w:val="0099543D"/>
    <w:rsid w:val="00995D40"/>
    <w:rsid w:val="00996BF1"/>
    <w:rsid w:val="009978DE"/>
    <w:rsid w:val="009A0580"/>
    <w:rsid w:val="009A05B2"/>
    <w:rsid w:val="009A21AE"/>
    <w:rsid w:val="009A2A4C"/>
    <w:rsid w:val="009A2A57"/>
    <w:rsid w:val="009A2B1A"/>
    <w:rsid w:val="009A2DEC"/>
    <w:rsid w:val="009A2F88"/>
    <w:rsid w:val="009A34DD"/>
    <w:rsid w:val="009A4D97"/>
    <w:rsid w:val="009A5154"/>
    <w:rsid w:val="009A54CC"/>
    <w:rsid w:val="009A55DD"/>
    <w:rsid w:val="009A5C07"/>
    <w:rsid w:val="009A5DB2"/>
    <w:rsid w:val="009A6AC7"/>
    <w:rsid w:val="009A6C0A"/>
    <w:rsid w:val="009B04C2"/>
    <w:rsid w:val="009B0774"/>
    <w:rsid w:val="009B0E1D"/>
    <w:rsid w:val="009B1460"/>
    <w:rsid w:val="009B21D1"/>
    <w:rsid w:val="009B223C"/>
    <w:rsid w:val="009B4C58"/>
    <w:rsid w:val="009B5A5E"/>
    <w:rsid w:val="009B5BC5"/>
    <w:rsid w:val="009B6138"/>
    <w:rsid w:val="009B6FA8"/>
    <w:rsid w:val="009B7136"/>
    <w:rsid w:val="009B7DBF"/>
    <w:rsid w:val="009C05A4"/>
    <w:rsid w:val="009C0714"/>
    <w:rsid w:val="009C0A2E"/>
    <w:rsid w:val="009C139F"/>
    <w:rsid w:val="009C37D0"/>
    <w:rsid w:val="009C45CB"/>
    <w:rsid w:val="009C4E62"/>
    <w:rsid w:val="009C50B3"/>
    <w:rsid w:val="009C51A1"/>
    <w:rsid w:val="009C524D"/>
    <w:rsid w:val="009C5459"/>
    <w:rsid w:val="009C5937"/>
    <w:rsid w:val="009C60F3"/>
    <w:rsid w:val="009C6FE9"/>
    <w:rsid w:val="009C7180"/>
    <w:rsid w:val="009C755C"/>
    <w:rsid w:val="009C7ECB"/>
    <w:rsid w:val="009D0151"/>
    <w:rsid w:val="009D0511"/>
    <w:rsid w:val="009D23C1"/>
    <w:rsid w:val="009D3E8A"/>
    <w:rsid w:val="009D4089"/>
    <w:rsid w:val="009D47AA"/>
    <w:rsid w:val="009D4A4C"/>
    <w:rsid w:val="009D4FEA"/>
    <w:rsid w:val="009D5F6C"/>
    <w:rsid w:val="009D67A5"/>
    <w:rsid w:val="009D6EB7"/>
    <w:rsid w:val="009D6F38"/>
    <w:rsid w:val="009D738A"/>
    <w:rsid w:val="009D7C84"/>
    <w:rsid w:val="009E0359"/>
    <w:rsid w:val="009E1254"/>
    <w:rsid w:val="009E17E8"/>
    <w:rsid w:val="009E1B74"/>
    <w:rsid w:val="009E1D9B"/>
    <w:rsid w:val="009E23EE"/>
    <w:rsid w:val="009E32A0"/>
    <w:rsid w:val="009E3875"/>
    <w:rsid w:val="009E5EFA"/>
    <w:rsid w:val="009E64F1"/>
    <w:rsid w:val="009F008E"/>
    <w:rsid w:val="009F0E86"/>
    <w:rsid w:val="009F0F4D"/>
    <w:rsid w:val="009F13BA"/>
    <w:rsid w:val="009F221C"/>
    <w:rsid w:val="009F31AE"/>
    <w:rsid w:val="009F35EA"/>
    <w:rsid w:val="009F4CD8"/>
    <w:rsid w:val="009F5C8A"/>
    <w:rsid w:val="009F6147"/>
    <w:rsid w:val="009F68CF"/>
    <w:rsid w:val="009F7222"/>
    <w:rsid w:val="009F794A"/>
    <w:rsid w:val="009F7DFF"/>
    <w:rsid w:val="00A00B78"/>
    <w:rsid w:val="00A01951"/>
    <w:rsid w:val="00A019C9"/>
    <w:rsid w:val="00A01B44"/>
    <w:rsid w:val="00A020C0"/>
    <w:rsid w:val="00A022FE"/>
    <w:rsid w:val="00A02A8A"/>
    <w:rsid w:val="00A02C56"/>
    <w:rsid w:val="00A03363"/>
    <w:rsid w:val="00A043DD"/>
    <w:rsid w:val="00A06480"/>
    <w:rsid w:val="00A06498"/>
    <w:rsid w:val="00A068EE"/>
    <w:rsid w:val="00A06B77"/>
    <w:rsid w:val="00A105E4"/>
    <w:rsid w:val="00A10C2B"/>
    <w:rsid w:val="00A10DC4"/>
    <w:rsid w:val="00A10EC8"/>
    <w:rsid w:val="00A10F23"/>
    <w:rsid w:val="00A1113B"/>
    <w:rsid w:val="00A11571"/>
    <w:rsid w:val="00A11650"/>
    <w:rsid w:val="00A1212F"/>
    <w:rsid w:val="00A13D2D"/>
    <w:rsid w:val="00A14265"/>
    <w:rsid w:val="00A1491C"/>
    <w:rsid w:val="00A15F72"/>
    <w:rsid w:val="00A177E4"/>
    <w:rsid w:val="00A21E70"/>
    <w:rsid w:val="00A230DB"/>
    <w:rsid w:val="00A2322A"/>
    <w:rsid w:val="00A233A9"/>
    <w:rsid w:val="00A234CB"/>
    <w:rsid w:val="00A23960"/>
    <w:rsid w:val="00A2445E"/>
    <w:rsid w:val="00A24A45"/>
    <w:rsid w:val="00A24BC0"/>
    <w:rsid w:val="00A24D72"/>
    <w:rsid w:val="00A24E56"/>
    <w:rsid w:val="00A264F0"/>
    <w:rsid w:val="00A27EA9"/>
    <w:rsid w:val="00A30A38"/>
    <w:rsid w:val="00A30CD4"/>
    <w:rsid w:val="00A30F3C"/>
    <w:rsid w:val="00A31359"/>
    <w:rsid w:val="00A318D2"/>
    <w:rsid w:val="00A3341F"/>
    <w:rsid w:val="00A33C91"/>
    <w:rsid w:val="00A343DB"/>
    <w:rsid w:val="00A34482"/>
    <w:rsid w:val="00A359E9"/>
    <w:rsid w:val="00A35A4C"/>
    <w:rsid w:val="00A362F3"/>
    <w:rsid w:val="00A371AD"/>
    <w:rsid w:val="00A37D32"/>
    <w:rsid w:val="00A4009E"/>
    <w:rsid w:val="00A407FE"/>
    <w:rsid w:val="00A41205"/>
    <w:rsid w:val="00A41696"/>
    <w:rsid w:val="00A42DB8"/>
    <w:rsid w:val="00A42E6D"/>
    <w:rsid w:val="00A4322D"/>
    <w:rsid w:val="00A434EE"/>
    <w:rsid w:val="00A4442A"/>
    <w:rsid w:val="00A44BE5"/>
    <w:rsid w:val="00A44EC4"/>
    <w:rsid w:val="00A450F9"/>
    <w:rsid w:val="00A4551B"/>
    <w:rsid w:val="00A46BCA"/>
    <w:rsid w:val="00A5062C"/>
    <w:rsid w:val="00A50691"/>
    <w:rsid w:val="00A50865"/>
    <w:rsid w:val="00A50B0C"/>
    <w:rsid w:val="00A51692"/>
    <w:rsid w:val="00A51874"/>
    <w:rsid w:val="00A54338"/>
    <w:rsid w:val="00A54D5F"/>
    <w:rsid w:val="00A55B87"/>
    <w:rsid w:val="00A55FC6"/>
    <w:rsid w:val="00A56953"/>
    <w:rsid w:val="00A56B0F"/>
    <w:rsid w:val="00A576A6"/>
    <w:rsid w:val="00A578A5"/>
    <w:rsid w:val="00A60C68"/>
    <w:rsid w:val="00A616A8"/>
    <w:rsid w:val="00A62736"/>
    <w:rsid w:val="00A63EA5"/>
    <w:rsid w:val="00A646B8"/>
    <w:rsid w:val="00A6621C"/>
    <w:rsid w:val="00A67D34"/>
    <w:rsid w:val="00A704B7"/>
    <w:rsid w:val="00A70AF3"/>
    <w:rsid w:val="00A70F64"/>
    <w:rsid w:val="00A718DC"/>
    <w:rsid w:val="00A719BC"/>
    <w:rsid w:val="00A71FE3"/>
    <w:rsid w:val="00A7447C"/>
    <w:rsid w:val="00A74A94"/>
    <w:rsid w:val="00A74E85"/>
    <w:rsid w:val="00A75E4E"/>
    <w:rsid w:val="00A76444"/>
    <w:rsid w:val="00A76AF4"/>
    <w:rsid w:val="00A76E9E"/>
    <w:rsid w:val="00A77A48"/>
    <w:rsid w:val="00A8070A"/>
    <w:rsid w:val="00A8157C"/>
    <w:rsid w:val="00A81A95"/>
    <w:rsid w:val="00A81B49"/>
    <w:rsid w:val="00A82CEF"/>
    <w:rsid w:val="00A8335E"/>
    <w:rsid w:val="00A83B6D"/>
    <w:rsid w:val="00A842D8"/>
    <w:rsid w:val="00A845F2"/>
    <w:rsid w:val="00A84F37"/>
    <w:rsid w:val="00A85C63"/>
    <w:rsid w:val="00A85CFB"/>
    <w:rsid w:val="00A8620F"/>
    <w:rsid w:val="00A863B6"/>
    <w:rsid w:val="00A86CB9"/>
    <w:rsid w:val="00A86FAC"/>
    <w:rsid w:val="00A870C5"/>
    <w:rsid w:val="00A873CF"/>
    <w:rsid w:val="00A87B32"/>
    <w:rsid w:val="00A87C98"/>
    <w:rsid w:val="00A900A3"/>
    <w:rsid w:val="00A92F8C"/>
    <w:rsid w:val="00A94645"/>
    <w:rsid w:val="00A949EB"/>
    <w:rsid w:val="00A96F2B"/>
    <w:rsid w:val="00A973E9"/>
    <w:rsid w:val="00A9768A"/>
    <w:rsid w:val="00A97A6F"/>
    <w:rsid w:val="00A97C4E"/>
    <w:rsid w:val="00AA118A"/>
    <w:rsid w:val="00AA13C2"/>
    <w:rsid w:val="00AA15C9"/>
    <w:rsid w:val="00AA261B"/>
    <w:rsid w:val="00AA2F77"/>
    <w:rsid w:val="00AA3956"/>
    <w:rsid w:val="00AA43BA"/>
    <w:rsid w:val="00AA6A54"/>
    <w:rsid w:val="00AA6C51"/>
    <w:rsid w:val="00AA7A21"/>
    <w:rsid w:val="00AB0613"/>
    <w:rsid w:val="00AB0C1D"/>
    <w:rsid w:val="00AB1384"/>
    <w:rsid w:val="00AB17CC"/>
    <w:rsid w:val="00AB21D9"/>
    <w:rsid w:val="00AB44EF"/>
    <w:rsid w:val="00AB4E06"/>
    <w:rsid w:val="00AB4F61"/>
    <w:rsid w:val="00AB5189"/>
    <w:rsid w:val="00AB58F2"/>
    <w:rsid w:val="00AB5AD6"/>
    <w:rsid w:val="00AB6646"/>
    <w:rsid w:val="00AB7160"/>
    <w:rsid w:val="00AB7E90"/>
    <w:rsid w:val="00AC1136"/>
    <w:rsid w:val="00AC1682"/>
    <w:rsid w:val="00AC1CAD"/>
    <w:rsid w:val="00AC275F"/>
    <w:rsid w:val="00AC385C"/>
    <w:rsid w:val="00AC3C14"/>
    <w:rsid w:val="00AC3F13"/>
    <w:rsid w:val="00AC4F54"/>
    <w:rsid w:val="00AC5C94"/>
    <w:rsid w:val="00AC5CD2"/>
    <w:rsid w:val="00AC6047"/>
    <w:rsid w:val="00AC72C4"/>
    <w:rsid w:val="00AD094B"/>
    <w:rsid w:val="00AD0959"/>
    <w:rsid w:val="00AD0A1A"/>
    <w:rsid w:val="00AD0BBF"/>
    <w:rsid w:val="00AD10EE"/>
    <w:rsid w:val="00AD12E0"/>
    <w:rsid w:val="00AD18FC"/>
    <w:rsid w:val="00AD1AAA"/>
    <w:rsid w:val="00AD278F"/>
    <w:rsid w:val="00AD2C24"/>
    <w:rsid w:val="00AD35D0"/>
    <w:rsid w:val="00AD4C61"/>
    <w:rsid w:val="00AD67A6"/>
    <w:rsid w:val="00AD6892"/>
    <w:rsid w:val="00AD6A69"/>
    <w:rsid w:val="00AD6E8A"/>
    <w:rsid w:val="00AD70E7"/>
    <w:rsid w:val="00AD748B"/>
    <w:rsid w:val="00AD7FFD"/>
    <w:rsid w:val="00AE37C4"/>
    <w:rsid w:val="00AE3854"/>
    <w:rsid w:val="00AE3BC4"/>
    <w:rsid w:val="00AE4186"/>
    <w:rsid w:val="00AE48E5"/>
    <w:rsid w:val="00AE4CFD"/>
    <w:rsid w:val="00AE5334"/>
    <w:rsid w:val="00AE5FE9"/>
    <w:rsid w:val="00AE66DD"/>
    <w:rsid w:val="00AE752C"/>
    <w:rsid w:val="00AE7826"/>
    <w:rsid w:val="00AE790F"/>
    <w:rsid w:val="00AF0566"/>
    <w:rsid w:val="00AF166B"/>
    <w:rsid w:val="00AF25BA"/>
    <w:rsid w:val="00AF447D"/>
    <w:rsid w:val="00AF6900"/>
    <w:rsid w:val="00AF6BA6"/>
    <w:rsid w:val="00AF6C6D"/>
    <w:rsid w:val="00AF778C"/>
    <w:rsid w:val="00AF7D93"/>
    <w:rsid w:val="00B00EE1"/>
    <w:rsid w:val="00B01085"/>
    <w:rsid w:val="00B01176"/>
    <w:rsid w:val="00B015F6"/>
    <w:rsid w:val="00B02877"/>
    <w:rsid w:val="00B02BF7"/>
    <w:rsid w:val="00B03D57"/>
    <w:rsid w:val="00B04E9D"/>
    <w:rsid w:val="00B0527F"/>
    <w:rsid w:val="00B05A6B"/>
    <w:rsid w:val="00B05D75"/>
    <w:rsid w:val="00B06235"/>
    <w:rsid w:val="00B062FE"/>
    <w:rsid w:val="00B065E4"/>
    <w:rsid w:val="00B0672E"/>
    <w:rsid w:val="00B06B0D"/>
    <w:rsid w:val="00B07063"/>
    <w:rsid w:val="00B076FC"/>
    <w:rsid w:val="00B10404"/>
    <w:rsid w:val="00B104AA"/>
    <w:rsid w:val="00B11732"/>
    <w:rsid w:val="00B11846"/>
    <w:rsid w:val="00B1265A"/>
    <w:rsid w:val="00B12E58"/>
    <w:rsid w:val="00B13B96"/>
    <w:rsid w:val="00B13D33"/>
    <w:rsid w:val="00B14033"/>
    <w:rsid w:val="00B143AF"/>
    <w:rsid w:val="00B15481"/>
    <w:rsid w:val="00B154F1"/>
    <w:rsid w:val="00B17DBD"/>
    <w:rsid w:val="00B211B4"/>
    <w:rsid w:val="00B21247"/>
    <w:rsid w:val="00B215B8"/>
    <w:rsid w:val="00B23E11"/>
    <w:rsid w:val="00B23F7A"/>
    <w:rsid w:val="00B245BD"/>
    <w:rsid w:val="00B245EF"/>
    <w:rsid w:val="00B24725"/>
    <w:rsid w:val="00B24A50"/>
    <w:rsid w:val="00B253F7"/>
    <w:rsid w:val="00B2580D"/>
    <w:rsid w:val="00B25C79"/>
    <w:rsid w:val="00B2611D"/>
    <w:rsid w:val="00B2722F"/>
    <w:rsid w:val="00B2747F"/>
    <w:rsid w:val="00B27A34"/>
    <w:rsid w:val="00B30515"/>
    <w:rsid w:val="00B30897"/>
    <w:rsid w:val="00B30B3D"/>
    <w:rsid w:val="00B31541"/>
    <w:rsid w:val="00B31739"/>
    <w:rsid w:val="00B31A8E"/>
    <w:rsid w:val="00B31BB6"/>
    <w:rsid w:val="00B31DED"/>
    <w:rsid w:val="00B3201E"/>
    <w:rsid w:val="00B32F3C"/>
    <w:rsid w:val="00B33037"/>
    <w:rsid w:val="00B336B9"/>
    <w:rsid w:val="00B33B77"/>
    <w:rsid w:val="00B3410E"/>
    <w:rsid w:val="00B362BB"/>
    <w:rsid w:val="00B3702E"/>
    <w:rsid w:val="00B37E6E"/>
    <w:rsid w:val="00B37F07"/>
    <w:rsid w:val="00B40705"/>
    <w:rsid w:val="00B408BC"/>
    <w:rsid w:val="00B4223F"/>
    <w:rsid w:val="00B42419"/>
    <w:rsid w:val="00B42E17"/>
    <w:rsid w:val="00B434B8"/>
    <w:rsid w:val="00B43585"/>
    <w:rsid w:val="00B43EE8"/>
    <w:rsid w:val="00B44735"/>
    <w:rsid w:val="00B451D1"/>
    <w:rsid w:val="00B4562D"/>
    <w:rsid w:val="00B45D8A"/>
    <w:rsid w:val="00B463F7"/>
    <w:rsid w:val="00B4752D"/>
    <w:rsid w:val="00B5069E"/>
    <w:rsid w:val="00B50878"/>
    <w:rsid w:val="00B50DAE"/>
    <w:rsid w:val="00B51C92"/>
    <w:rsid w:val="00B51D25"/>
    <w:rsid w:val="00B52E7D"/>
    <w:rsid w:val="00B55C89"/>
    <w:rsid w:val="00B56F3E"/>
    <w:rsid w:val="00B57693"/>
    <w:rsid w:val="00B57D56"/>
    <w:rsid w:val="00B6024B"/>
    <w:rsid w:val="00B6040B"/>
    <w:rsid w:val="00B61F34"/>
    <w:rsid w:val="00B627E1"/>
    <w:rsid w:val="00B63D96"/>
    <w:rsid w:val="00B64006"/>
    <w:rsid w:val="00B64190"/>
    <w:rsid w:val="00B64840"/>
    <w:rsid w:val="00B64C47"/>
    <w:rsid w:val="00B64F18"/>
    <w:rsid w:val="00B653AA"/>
    <w:rsid w:val="00B66884"/>
    <w:rsid w:val="00B66BC9"/>
    <w:rsid w:val="00B70DC1"/>
    <w:rsid w:val="00B71608"/>
    <w:rsid w:val="00B71773"/>
    <w:rsid w:val="00B719A0"/>
    <w:rsid w:val="00B719C6"/>
    <w:rsid w:val="00B72283"/>
    <w:rsid w:val="00B735D2"/>
    <w:rsid w:val="00B749FA"/>
    <w:rsid w:val="00B74BA0"/>
    <w:rsid w:val="00B76235"/>
    <w:rsid w:val="00B76A91"/>
    <w:rsid w:val="00B77B0A"/>
    <w:rsid w:val="00B802FB"/>
    <w:rsid w:val="00B81F11"/>
    <w:rsid w:val="00B81F21"/>
    <w:rsid w:val="00B82650"/>
    <w:rsid w:val="00B8289B"/>
    <w:rsid w:val="00B83972"/>
    <w:rsid w:val="00B83B1C"/>
    <w:rsid w:val="00B848B2"/>
    <w:rsid w:val="00B86575"/>
    <w:rsid w:val="00B86791"/>
    <w:rsid w:val="00B86AF7"/>
    <w:rsid w:val="00B87B78"/>
    <w:rsid w:val="00B905B7"/>
    <w:rsid w:val="00B909BC"/>
    <w:rsid w:val="00B9104B"/>
    <w:rsid w:val="00B912A0"/>
    <w:rsid w:val="00B913AE"/>
    <w:rsid w:val="00B9150A"/>
    <w:rsid w:val="00B91966"/>
    <w:rsid w:val="00B91B87"/>
    <w:rsid w:val="00B91D14"/>
    <w:rsid w:val="00B93104"/>
    <w:rsid w:val="00B93558"/>
    <w:rsid w:val="00B938F8"/>
    <w:rsid w:val="00B96801"/>
    <w:rsid w:val="00B96A8A"/>
    <w:rsid w:val="00B97031"/>
    <w:rsid w:val="00B9740E"/>
    <w:rsid w:val="00B975B8"/>
    <w:rsid w:val="00B97C7B"/>
    <w:rsid w:val="00BA03BB"/>
    <w:rsid w:val="00BA2A1D"/>
    <w:rsid w:val="00BA2D86"/>
    <w:rsid w:val="00BA3524"/>
    <w:rsid w:val="00BA47D1"/>
    <w:rsid w:val="00BA4C23"/>
    <w:rsid w:val="00BA5029"/>
    <w:rsid w:val="00BA7373"/>
    <w:rsid w:val="00BA764C"/>
    <w:rsid w:val="00BB189F"/>
    <w:rsid w:val="00BB260D"/>
    <w:rsid w:val="00BB2F2F"/>
    <w:rsid w:val="00BB3486"/>
    <w:rsid w:val="00BB398C"/>
    <w:rsid w:val="00BB4016"/>
    <w:rsid w:val="00BB4985"/>
    <w:rsid w:val="00BB5509"/>
    <w:rsid w:val="00BB5B42"/>
    <w:rsid w:val="00BB5CB2"/>
    <w:rsid w:val="00BB6043"/>
    <w:rsid w:val="00BB75DA"/>
    <w:rsid w:val="00BB77DF"/>
    <w:rsid w:val="00BB7C2E"/>
    <w:rsid w:val="00BC1583"/>
    <w:rsid w:val="00BC22B9"/>
    <w:rsid w:val="00BC2314"/>
    <w:rsid w:val="00BC24CA"/>
    <w:rsid w:val="00BC2992"/>
    <w:rsid w:val="00BC2A35"/>
    <w:rsid w:val="00BC30D0"/>
    <w:rsid w:val="00BC52A4"/>
    <w:rsid w:val="00BC57EE"/>
    <w:rsid w:val="00BC61D7"/>
    <w:rsid w:val="00BC69D0"/>
    <w:rsid w:val="00BC7261"/>
    <w:rsid w:val="00BC7FA2"/>
    <w:rsid w:val="00BD05AC"/>
    <w:rsid w:val="00BD1621"/>
    <w:rsid w:val="00BD1DC6"/>
    <w:rsid w:val="00BD2248"/>
    <w:rsid w:val="00BD2F3E"/>
    <w:rsid w:val="00BD41CF"/>
    <w:rsid w:val="00BD4E51"/>
    <w:rsid w:val="00BD501C"/>
    <w:rsid w:val="00BD51CE"/>
    <w:rsid w:val="00BD60B4"/>
    <w:rsid w:val="00BD6737"/>
    <w:rsid w:val="00BD6A89"/>
    <w:rsid w:val="00BD71F1"/>
    <w:rsid w:val="00BD7302"/>
    <w:rsid w:val="00BD7B30"/>
    <w:rsid w:val="00BD7B8C"/>
    <w:rsid w:val="00BD7E5E"/>
    <w:rsid w:val="00BE06FD"/>
    <w:rsid w:val="00BE2C73"/>
    <w:rsid w:val="00BE514B"/>
    <w:rsid w:val="00BE7165"/>
    <w:rsid w:val="00BE7C4D"/>
    <w:rsid w:val="00BE7CF8"/>
    <w:rsid w:val="00BF08C2"/>
    <w:rsid w:val="00BF1073"/>
    <w:rsid w:val="00BF1235"/>
    <w:rsid w:val="00BF1D2E"/>
    <w:rsid w:val="00BF1F71"/>
    <w:rsid w:val="00BF2320"/>
    <w:rsid w:val="00BF260A"/>
    <w:rsid w:val="00BF3438"/>
    <w:rsid w:val="00BF375A"/>
    <w:rsid w:val="00BF420D"/>
    <w:rsid w:val="00BF4CC4"/>
    <w:rsid w:val="00BF6717"/>
    <w:rsid w:val="00BF673D"/>
    <w:rsid w:val="00BF7266"/>
    <w:rsid w:val="00BF73F9"/>
    <w:rsid w:val="00BF7B5D"/>
    <w:rsid w:val="00BF7DE7"/>
    <w:rsid w:val="00C002E2"/>
    <w:rsid w:val="00C00604"/>
    <w:rsid w:val="00C00855"/>
    <w:rsid w:val="00C0097E"/>
    <w:rsid w:val="00C00D8B"/>
    <w:rsid w:val="00C01AB7"/>
    <w:rsid w:val="00C01BFD"/>
    <w:rsid w:val="00C01C4E"/>
    <w:rsid w:val="00C02D68"/>
    <w:rsid w:val="00C05FA5"/>
    <w:rsid w:val="00C06D73"/>
    <w:rsid w:val="00C0736F"/>
    <w:rsid w:val="00C07603"/>
    <w:rsid w:val="00C109FB"/>
    <w:rsid w:val="00C11067"/>
    <w:rsid w:val="00C12474"/>
    <w:rsid w:val="00C12902"/>
    <w:rsid w:val="00C1399D"/>
    <w:rsid w:val="00C13A30"/>
    <w:rsid w:val="00C14150"/>
    <w:rsid w:val="00C142C4"/>
    <w:rsid w:val="00C145F1"/>
    <w:rsid w:val="00C1617F"/>
    <w:rsid w:val="00C1671E"/>
    <w:rsid w:val="00C16B5A"/>
    <w:rsid w:val="00C16CE6"/>
    <w:rsid w:val="00C1794D"/>
    <w:rsid w:val="00C2061A"/>
    <w:rsid w:val="00C2062B"/>
    <w:rsid w:val="00C21522"/>
    <w:rsid w:val="00C219EB"/>
    <w:rsid w:val="00C224B4"/>
    <w:rsid w:val="00C2506C"/>
    <w:rsid w:val="00C257CD"/>
    <w:rsid w:val="00C26125"/>
    <w:rsid w:val="00C26EC0"/>
    <w:rsid w:val="00C2733C"/>
    <w:rsid w:val="00C27813"/>
    <w:rsid w:val="00C2791C"/>
    <w:rsid w:val="00C27A66"/>
    <w:rsid w:val="00C30357"/>
    <w:rsid w:val="00C303AD"/>
    <w:rsid w:val="00C3058C"/>
    <w:rsid w:val="00C30C36"/>
    <w:rsid w:val="00C30FD8"/>
    <w:rsid w:val="00C31AB5"/>
    <w:rsid w:val="00C31CBB"/>
    <w:rsid w:val="00C320BF"/>
    <w:rsid w:val="00C32AE5"/>
    <w:rsid w:val="00C33BE9"/>
    <w:rsid w:val="00C355CB"/>
    <w:rsid w:val="00C35C6C"/>
    <w:rsid w:val="00C36714"/>
    <w:rsid w:val="00C379B0"/>
    <w:rsid w:val="00C40348"/>
    <w:rsid w:val="00C40A2F"/>
    <w:rsid w:val="00C411AF"/>
    <w:rsid w:val="00C4169F"/>
    <w:rsid w:val="00C41756"/>
    <w:rsid w:val="00C41E6D"/>
    <w:rsid w:val="00C422DE"/>
    <w:rsid w:val="00C423FC"/>
    <w:rsid w:val="00C4262E"/>
    <w:rsid w:val="00C433DB"/>
    <w:rsid w:val="00C43A9A"/>
    <w:rsid w:val="00C43B84"/>
    <w:rsid w:val="00C440DD"/>
    <w:rsid w:val="00C441B1"/>
    <w:rsid w:val="00C4441D"/>
    <w:rsid w:val="00C44A35"/>
    <w:rsid w:val="00C46BFE"/>
    <w:rsid w:val="00C47432"/>
    <w:rsid w:val="00C47858"/>
    <w:rsid w:val="00C47885"/>
    <w:rsid w:val="00C500F1"/>
    <w:rsid w:val="00C5078D"/>
    <w:rsid w:val="00C50DCC"/>
    <w:rsid w:val="00C514D2"/>
    <w:rsid w:val="00C51951"/>
    <w:rsid w:val="00C5196C"/>
    <w:rsid w:val="00C51FC5"/>
    <w:rsid w:val="00C52DE0"/>
    <w:rsid w:val="00C53CA1"/>
    <w:rsid w:val="00C54928"/>
    <w:rsid w:val="00C54E9D"/>
    <w:rsid w:val="00C550B4"/>
    <w:rsid w:val="00C55B72"/>
    <w:rsid w:val="00C55BA1"/>
    <w:rsid w:val="00C57644"/>
    <w:rsid w:val="00C57669"/>
    <w:rsid w:val="00C609B8"/>
    <w:rsid w:val="00C60EB3"/>
    <w:rsid w:val="00C6111D"/>
    <w:rsid w:val="00C62374"/>
    <w:rsid w:val="00C625C8"/>
    <w:rsid w:val="00C63783"/>
    <w:rsid w:val="00C637FE"/>
    <w:rsid w:val="00C638FF"/>
    <w:rsid w:val="00C63994"/>
    <w:rsid w:val="00C63A2E"/>
    <w:rsid w:val="00C64482"/>
    <w:rsid w:val="00C64C12"/>
    <w:rsid w:val="00C65FAA"/>
    <w:rsid w:val="00C6626E"/>
    <w:rsid w:val="00C66EA5"/>
    <w:rsid w:val="00C67A71"/>
    <w:rsid w:val="00C67AF0"/>
    <w:rsid w:val="00C702E4"/>
    <w:rsid w:val="00C70391"/>
    <w:rsid w:val="00C709E7"/>
    <w:rsid w:val="00C7130A"/>
    <w:rsid w:val="00C714DC"/>
    <w:rsid w:val="00C71D5F"/>
    <w:rsid w:val="00C71F62"/>
    <w:rsid w:val="00C73FB3"/>
    <w:rsid w:val="00C7427A"/>
    <w:rsid w:val="00C74369"/>
    <w:rsid w:val="00C74791"/>
    <w:rsid w:val="00C74ED1"/>
    <w:rsid w:val="00C75645"/>
    <w:rsid w:val="00C7636D"/>
    <w:rsid w:val="00C770DF"/>
    <w:rsid w:val="00C77B96"/>
    <w:rsid w:val="00C80343"/>
    <w:rsid w:val="00C80A5E"/>
    <w:rsid w:val="00C8136D"/>
    <w:rsid w:val="00C836E0"/>
    <w:rsid w:val="00C8483E"/>
    <w:rsid w:val="00C85BB4"/>
    <w:rsid w:val="00C867A0"/>
    <w:rsid w:val="00C86B6D"/>
    <w:rsid w:val="00C872BB"/>
    <w:rsid w:val="00C9105B"/>
    <w:rsid w:val="00C91345"/>
    <w:rsid w:val="00C9341D"/>
    <w:rsid w:val="00C941E0"/>
    <w:rsid w:val="00C94275"/>
    <w:rsid w:val="00C944A9"/>
    <w:rsid w:val="00C94B97"/>
    <w:rsid w:val="00C97066"/>
    <w:rsid w:val="00C9713B"/>
    <w:rsid w:val="00CA02AD"/>
    <w:rsid w:val="00CA066F"/>
    <w:rsid w:val="00CA0D4E"/>
    <w:rsid w:val="00CA1006"/>
    <w:rsid w:val="00CA2A94"/>
    <w:rsid w:val="00CA3A2F"/>
    <w:rsid w:val="00CA4C6C"/>
    <w:rsid w:val="00CA4EBD"/>
    <w:rsid w:val="00CA5290"/>
    <w:rsid w:val="00CA5424"/>
    <w:rsid w:val="00CA617B"/>
    <w:rsid w:val="00CA68AB"/>
    <w:rsid w:val="00CA6B43"/>
    <w:rsid w:val="00CA7145"/>
    <w:rsid w:val="00CB0AAC"/>
    <w:rsid w:val="00CB0DB2"/>
    <w:rsid w:val="00CB10DA"/>
    <w:rsid w:val="00CB1C2D"/>
    <w:rsid w:val="00CB1C9B"/>
    <w:rsid w:val="00CB2691"/>
    <w:rsid w:val="00CB319E"/>
    <w:rsid w:val="00CB3E4D"/>
    <w:rsid w:val="00CB4292"/>
    <w:rsid w:val="00CB4714"/>
    <w:rsid w:val="00CB5D88"/>
    <w:rsid w:val="00CB636D"/>
    <w:rsid w:val="00CB7252"/>
    <w:rsid w:val="00CB7F79"/>
    <w:rsid w:val="00CB7FF9"/>
    <w:rsid w:val="00CC1393"/>
    <w:rsid w:val="00CC1A0D"/>
    <w:rsid w:val="00CC1B8E"/>
    <w:rsid w:val="00CC2C4D"/>
    <w:rsid w:val="00CC2DEB"/>
    <w:rsid w:val="00CC3AF2"/>
    <w:rsid w:val="00CC4160"/>
    <w:rsid w:val="00CC4492"/>
    <w:rsid w:val="00CC4C11"/>
    <w:rsid w:val="00CC51DB"/>
    <w:rsid w:val="00CC56AB"/>
    <w:rsid w:val="00CC5C84"/>
    <w:rsid w:val="00CD0F6C"/>
    <w:rsid w:val="00CD1291"/>
    <w:rsid w:val="00CD1421"/>
    <w:rsid w:val="00CD15D6"/>
    <w:rsid w:val="00CD1689"/>
    <w:rsid w:val="00CD18BA"/>
    <w:rsid w:val="00CD1C32"/>
    <w:rsid w:val="00CD2120"/>
    <w:rsid w:val="00CD408C"/>
    <w:rsid w:val="00CD40FB"/>
    <w:rsid w:val="00CD43E0"/>
    <w:rsid w:val="00CD4433"/>
    <w:rsid w:val="00CD4761"/>
    <w:rsid w:val="00CD527C"/>
    <w:rsid w:val="00CD644D"/>
    <w:rsid w:val="00CD6BD5"/>
    <w:rsid w:val="00CD73CC"/>
    <w:rsid w:val="00CE0027"/>
    <w:rsid w:val="00CE19FC"/>
    <w:rsid w:val="00CE3BC5"/>
    <w:rsid w:val="00CE3E59"/>
    <w:rsid w:val="00CE40DA"/>
    <w:rsid w:val="00CE5136"/>
    <w:rsid w:val="00CE58D6"/>
    <w:rsid w:val="00CE6B84"/>
    <w:rsid w:val="00CE705A"/>
    <w:rsid w:val="00CE73EE"/>
    <w:rsid w:val="00CE7FDF"/>
    <w:rsid w:val="00CF0130"/>
    <w:rsid w:val="00CF19A1"/>
    <w:rsid w:val="00CF2809"/>
    <w:rsid w:val="00CF283B"/>
    <w:rsid w:val="00CF28B0"/>
    <w:rsid w:val="00CF2AC7"/>
    <w:rsid w:val="00CF333C"/>
    <w:rsid w:val="00CF3CAB"/>
    <w:rsid w:val="00CF44DE"/>
    <w:rsid w:val="00CF466D"/>
    <w:rsid w:val="00CF4E58"/>
    <w:rsid w:val="00CF5045"/>
    <w:rsid w:val="00CF5869"/>
    <w:rsid w:val="00CF59EB"/>
    <w:rsid w:val="00CF60BF"/>
    <w:rsid w:val="00CF6733"/>
    <w:rsid w:val="00CF6B21"/>
    <w:rsid w:val="00CF7569"/>
    <w:rsid w:val="00CF772E"/>
    <w:rsid w:val="00CF7C52"/>
    <w:rsid w:val="00CF7EC8"/>
    <w:rsid w:val="00CF7FAD"/>
    <w:rsid w:val="00D00682"/>
    <w:rsid w:val="00D00D56"/>
    <w:rsid w:val="00D02EB8"/>
    <w:rsid w:val="00D03BD3"/>
    <w:rsid w:val="00D0547C"/>
    <w:rsid w:val="00D05D5D"/>
    <w:rsid w:val="00D0744F"/>
    <w:rsid w:val="00D07A5C"/>
    <w:rsid w:val="00D10083"/>
    <w:rsid w:val="00D10178"/>
    <w:rsid w:val="00D10374"/>
    <w:rsid w:val="00D11A9E"/>
    <w:rsid w:val="00D11AAB"/>
    <w:rsid w:val="00D11FFC"/>
    <w:rsid w:val="00D12066"/>
    <w:rsid w:val="00D123CA"/>
    <w:rsid w:val="00D12501"/>
    <w:rsid w:val="00D12813"/>
    <w:rsid w:val="00D1321D"/>
    <w:rsid w:val="00D13F2B"/>
    <w:rsid w:val="00D13F8B"/>
    <w:rsid w:val="00D142E9"/>
    <w:rsid w:val="00D14512"/>
    <w:rsid w:val="00D1461A"/>
    <w:rsid w:val="00D14ED3"/>
    <w:rsid w:val="00D15D8E"/>
    <w:rsid w:val="00D15F46"/>
    <w:rsid w:val="00D160F8"/>
    <w:rsid w:val="00D17036"/>
    <w:rsid w:val="00D17CAB"/>
    <w:rsid w:val="00D2072E"/>
    <w:rsid w:val="00D207B9"/>
    <w:rsid w:val="00D20CF1"/>
    <w:rsid w:val="00D21541"/>
    <w:rsid w:val="00D22273"/>
    <w:rsid w:val="00D2239B"/>
    <w:rsid w:val="00D22A80"/>
    <w:rsid w:val="00D2368A"/>
    <w:rsid w:val="00D23B20"/>
    <w:rsid w:val="00D24DB2"/>
    <w:rsid w:val="00D2512E"/>
    <w:rsid w:val="00D25BF8"/>
    <w:rsid w:val="00D25DBF"/>
    <w:rsid w:val="00D260BA"/>
    <w:rsid w:val="00D26803"/>
    <w:rsid w:val="00D26A39"/>
    <w:rsid w:val="00D26AA4"/>
    <w:rsid w:val="00D317EA"/>
    <w:rsid w:val="00D317F7"/>
    <w:rsid w:val="00D31CC1"/>
    <w:rsid w:val="00D3200E"/>
    <w:rsid w:val="00D325D9"/>
    <w:rsid w:val="00D32713"/>
    <w:rsid w:val="00D32E51"/>
    <w:rsid w:val="00D33926"/>
    <w:rsid w:val="00D34755"/>
    <w:rsid w:val="00D34D4B"/>
    <w:rsid w:val="00D35F39"/>
    <w:rsid w:val="00D3751C"/>
    <w:rsid w:val="00D378CD"/>
    <w:rsid w:val="00D37D8F"/>
    <w:rsid w:val="00D37FBE"/>
    <w:rsid w:val="00D402CB"/>
    <w:rsid w:val="00D4079B"/>
    <w:rsid w:val="00D408B9"/>
    <w:rsid w:val="00D41FC5"/>
    <w:rsid w:val="00D42049"/>
    <w:rsid w:val="00D420F4"/>
    <w:rsid w:val="00D42157"/>
    <w:rsid w:val="00D423D7"/>
    <w:rsid w:val="00D44E28"/>
    <w:rsid w:val="00D45257"/>
    <w:rsid w:val="00D45C6A"/>
    <w:rsid w:val="00D46027"/>
    <w:rsid w:val="00D460B7"/>
    <w:rsid w:val="00D46B00"/>
    <w:rsid w:val="00D470C5"/>
    <w:rsid w:val="00D4746C"/>
    <w:rsid w:val="00D47908"/>
    <w:rsid w:val="00D50201"/>
    <w:rsid w:val="00D50ED2"/>
    <w:rsid w:val="00D51538"/>
    <w:rsid w:val="00D524B7"/>
    <w:rsid w:val="00D52578"/>
    <w:rsid w:val="00D5309F"/>
    <w:rsid w:val="00D53313"/>
    <w:rsid w:val="00D53850"/>
    <w:rsid w:val="00D54086"/>
    <w:rsid w:val="00D545AC"/>
    <w:rsid w:val="00D54B3E"/>
    <w:rsid w:val="00D55BB9"/>
    <w:rsid w:val="00D56740"/>
    <w:rsid w:val="00D56BB7"/>
    <w:rsid w:val="00D57DAC"/>
    <w:rsid w:val="00D60D46"/>
    <w:rsid w:val="00D61415"/>
    <w:rsid w:val="00D629CF"/>
    <w:rsid w:val="00D63009"/>
    <w:rsid w:val="00D631CC"/>
    <w:rsid w:val="00D634DE"/>
    <w:rsid w:val="00D64811"/>
    <w:rsid w:val="00D64923"/>
    <w:rsid w:val="00D64EB6"/>
    <w:rsid w:val="00D64FE5"/>
    <w:rsid w:val="00D6524E"/>
    <w:rsid w:val="00D6554F"/>
    <w:rsid w:val="00D65852"/>
    <w:rsid w:val="00D66208"/>
    <w:rsid w:val="00D66A2C"/>
    <w:rsid w:val="00D67187"/>
    <w:rsid w:val="00D672F8"/>
    <w:rsid w:val="00D67DD2"/>
    <w:rsid w:val="00D7006C"/>
    <w:rsid w:val="00D71833"/>
    <w:rsid w:val="00D73CB7"/>
    <w:rsid w:val="00D74145"/>
    <w:rsid w:val="00D74326"/>
    <w:rsid w:val="00D74830"/>
    <w:rsid w:val="00D74C2B"/>
    <w:rsid w:val="00D75198"/>
    <w:rsid w:val="00D755E7"/>
    <w:rsid w:val="00D75CB6"/>
    <w:rsid w:val="00D760A2"/>
    <w:rsid w:val="00D76520"/>
    <w:rsid w:val="00D767AC"/>
    <w:rsid w:val="00D76958"/>
    <w:rsid w:val="00D77D80"/>
    <w:rsid w:val="00D80E75"/>
    <w:rsid w:val="00D81496"/>
    <w:rsid w:val="00D82617"/>
    <w:rsid w:val="00D827F0"/>
    <w:rsid w:val="00D83B98"/>
    <w:rsid w:val="00D84978"/>
    <w:rsid w:val="00D84BAF"/>
    <w:rsid w:val="00D854DC"/>
    <w:rsid w:val="00D85B20"/>
    <w:rsid w:val="00D85CAC"/>
    <w:rsid w:val="00D87758"/>
    <w:rsid w:val="00D879F1"/>
    <w:rsid w:val="00D9166A"/>
    <w:rsid w:val="00D9265B"/>
    <w:rsid w:val="00D92A60"/>
    <w:rsid w:val="00D945C1"/>
    <w:rsid w:val="00D94EA8"/>
    <w:rsid w:val="00D9622B"/>
    <w:rsid w:val="00D9730F"/>
    <w:rsid w:val="00D97385"/>
    <w:rsid w:val="00D973DE"/>
    <w:rsid w:val="00D975F5"/>
    <w:rsid w:val="00D978E8"/>
    <w:rsid w:val="00D97AA4"/>
    <w:rsid w:val="00D97D34"/>
    <w:rsid w:val="00DA000B"/>
    <w:rsid w:val="00DA0152"/>
    <w:rsid w:val="00DA0337"/>
    <w:rsid w:val="00DA0349"/>
    <w:rsid w:val="00DA0B00"/>
    <w:rsid w:val="00DA110A"/>
    <w:rsid w:val="00DA1758"/>
    <w:rsid w:val="00DA2DB6"/>
    <w:rsid w:val="00DA3B29"/>
    <w:rsid w:val="00DA45F7"/>
    <w:rsid w:val="00DA4C07"/>
    <w:rsid w:val="00DA622A"/>
    <w:rsid w:val="00DA6281"/>
    <w:rsid w:val="00DA6A62"/>
    <w:rsid w:val="00DA6A8C"/>
    <w:rsid w:val="00DA6E17"/>
    <w:rsid w:val="00DA7300"/>
    <w:rsid w:val="00DA74AB"/>
    <w:rsid w:val="00DA7768"/>
    <w:rsid w:val="00DA78AD"/>
    <w:rsid w:val="00DA7A83"/>
    <w:rsid w:val="00DA7BDB"/>
    <w:rsid w:val="00DB2800"/>
    <w:rsid w:val="00DB2B93"/>
    <w:rsid w:val="00DB2BC5"/>
    <w:rsid w:val="00DB4155"/>
    <w:rsid w:val="00DB48E0"/>
    <w:rsid w:val="00DB4BB2"/>
    <w:rsid w:val="00DB5EFD"/>
    <w:rsid w:val="00DB6204"/>
    <w:rsid w:val="00DB643A"/>
    <w:rsid w:val="00DB7855"/>
    <w:rsid w:val="00DC0AE0"/>
    <w:rsid w:val="00DC13FF"/>
    <w:rsid w:val="00DC41C8"/>
    <w:rsid w:val="00DC4990"/>
    <w:rsid w:val="00DC529F"/>
    <w:rsid w:val="00DC5E84"/>
    <w:rsid w:val="00DC5F93"/>
    <w:rsid w:val="00DC6965"/>
    <w:rsid w:val="00DC6F2F"/>
    <w:rsid w:val="00DC7456"/>
    <w:rsid w:val="00DC783B"/>
    <w:rsid w:val="00DD004C"/>
    <w:rsid w:val="00DD0CD5"/>
    <w:rsid w:val="00DD371E"/>
    <w:rsid w:val="00DD3DF3"/>
    <w:rsid w:val="00DD693E"/>
    <w:rsid w:val="00DD7026"/>
    <w:rsid w:val="00DE10B9"/>
    <w:rsid w:val="00DE16D5"/>
    <w:rsid w:val="00DE2432"/>
    <w:rsid w:val="00DE2BFB"/>
    <w:rsid w:val="00DE2C8D"/>
    <w:rsid w:val="00DE2E4F"/>
    <w:rsid w:val="00DE3044"/>
    <w:rsid w:val="00DE366B"/>
    <w:rsid w:val="00DE36D5"/>
    <w:rsid w:val="00DE3C3F"/>
    <w:rsid w:val="00DE49BC"/>
    <w:rsid w:val="00DE4CB7"/>
    <w:rsid w:val="00DE50CE"/>
    <w:rsid w:val="00DE59F2"/>
    <w:rsid w:val="00DE6C1E"/>
    <w:rsid w:val="00DE7F50"/>
    <w:rsid w:val="00DF04F2"/>
    <w:rsid w:val="00DF0B9A"/>
    <w:rsid w:val="00DF1BED"/>
    <w:rsid w:val="00DF21F0"/>
    <w:rsid w:val="00DF2A6D"/>
    <w:rsid w:val="00DF2FA3"/>
    <w:rsid w:val="00DF46DD"/>
    <w:rsid w:val="00DF4D4E"/>
    <w:rsid w:val="00DF585E"/>
    <w:rsid w:val="00DF615C"/>
    <w:rsid w:val="00DF657A"/>
    <w:rsid w:val="00DF68E7"/>
    <w:rsid w:val="00DF6A79"/>
    <w:rsid w:val="00DF7A1A"/>
    <w:rsid w:val="00E018F2"/>
    <w:rsid w:val="00E02FAB"/>
    <w:rsid w:val="00E0578F"/>
    <w:rsid w:val="00E063F1"/>
    <w:rsid w:val="00E06F3E"/>
    <w:rsid w:val="00E07021"/>
    <w:rsid w:val="00E072E9"/>
    <w:rsid w:val="00E07677"/>
    <w:rsid w:val="00E0795D"/>
    <w:rsid w:val="00E079D9"/>
    <w:rsid w:val="00E07F53"/>
    <w:rsid w:val="00E10EC5"/>
    <w:rsid w:val="00E11926"/>
    <w:rsid w:val="00E13314"/>
    <w:rsid w:val="00E13350"/>
    <w:rsid w:val="00E13975"/>
    <w:rsid w:val="00E14478"/>
    <w:rsid w:val="00E144E8"/>
    <w:rsid w:val="00E14C3C"/>
    <w:rsid w:val="00E15776"/>
    <w:rsid w:val="00E1614D"/>
    <w:rsid w:val="00E16D02"/>
    <w:rsid w:val="00E171A3"/>
    <w:rsid w:val="00E20372"/>
    <w:rsid w:val="00E21B05"/>
    <w:rsid w:val="00E2215C"/>
    <w:rsid w:val="00E22919"/>
    <w:rsid w:val="00E22BC9"/>
    <w:rsid w:val="00E23721"/>
    <w:rsid w:val="00E238EB"/>
    <w:rsid w:val="00E242EC"/>
    <w:rsid w:val="00E247F4"/>
    <w:rsid w:val="00E24D50"/>
    <w:rsid w:val="00E25559"/>
    <w:rsid w:val="00E25C13"/>
    <w:rsid w:val="00E25F0C"/>
    <w:rsid w:val="00E26220"/>
    <w:rsid w:val="00E27273"/>
    <w:rsid w:val="00E27B13"/>
    <w:rsid w:val="00E30893"/>
    <w:rsid w:val="00E30A5E"/>
    <w:rsid w:val="00E30D04"/>
    <w:rsid w:val="00E31461"/>
    <w:rsid w:val="00E314F6"/>
    <w:rsid w:val="00E3179E"/>
    <w:rsid w:val="00E32E0E"/>
    <w:rsid w:val="00E330E8"/>
    <w:rsid w:val="00E3396A"/>
    <w:rsid w:val="00E33D95"/>
    <w:rsid w:val="00E34475"/>
    <w:rsid w:val="00E34CB4"/>
    <w:rsid w:val="00E350FA"/>
    <w:rsid w:val="00E358B1"/>
    <w:rsid w:val="00E35A52"/>
    <w:rsid w:val="00E35DD3"/>
    <w:rsid w:val="00E360D5"/>
    <w:rsid w:val="00E371EB"/>
    <w:rsid w:val="00E374AD"/>
    <w:rsid w:val="00E40ECA"/>
    <w:rsid w:val="00E421C9"/>
    <w:rsid w:val="00E42B0E"/>
    <w:rsid w:val="00E43553"/>
    <w:rsid w:val="00E4381C"/>
    <w:rsid w:val="00E43CF1"/>
    <w:rsid w:val="00E45BEF"/>
    <w:rsid w:val="00E45FB7"/>
    <w:rsid w:val="00E46792"/>
    <w:rsid w:val="00E5097E"/>
    <w:rsid w:val="00E50CB7"/>
    <w:rsid w:val="00E50E5F"/>
    <w:rsid w:val="00E51CDE"/>
    <w:rsid w:val="00E52455"/>
    <w:rsid w:val="00E52699"/>
    <w:rsid w:val="00E527AF"/>
    <w:rsid w:val="00E54118"/>
    <w:rsid w:val="00E54A8B"/>
    <w:rsid w:val="00E5521F"/>
    <w:rsid w:val="00E55427"/>
    <w:rsid w:val="00E55543"/>
    <w:rsid w:val="00E57E34"/>
    <w:rsid w:val="00E613F4"/>
    <w:rsid w:val="00E61405"/>
    <w:rsid w:val="00E61A5D"/>
    <w:rsid w:val="00E62173"/>
    <w:rsid w:val="00E64BC9"/>
    <w:rsid w:val="00E65496"/>
    <w:rsid w:val="00E656ED"/>
    <w:rsid w:val="00E65A7F"/>
    <w:rsid w:val="00E67B58"/>
    <w:rsid w:val="00E71525"/>
    <w:rsid w:val="00E7192D"/>
    <w:rsid w:val="00E7249B"/>
    <w:rsid w:val="00E7448B"/>
    <w:rsid w:val="00E74B17"/>
    <w:rsid w:val="00E75A5B"/>
    <w:rsid w:val="00E76561"/>
    <w:rsid w:val="00E76566"/>
    <w:rsid w:val="00E767B9"/>
    <w:rsid w:val="00E7689C"/>
    <w:rsid w:val="00E77227"/>
    <w:rsid w:val="00E8021B"/>
    <w:rsid w:val="00E8044B"/>
    <w:rsid w:val="00E809A8"/>
    <w:rsid w:val="00E80D95"/>
    <w:rsid w:val="00E80EEF"/>
    <w:rsid w:val="00E81270"/>
    <w:rsid w:val="00E81AF0"/>
    <w:rsid w:val="00E823D1"/>
    <w:rsid w:val="00E8252A"/>
    <w:rsid w:val="00E82907"/>
    <w:rsid w:val="00E82C7C"/>
    <w:rsid w:val="00E83426"/>
    <w:rsid w:val="00E8363D"/>
    <w:rsid w:val="00E8370E"/>
    <w:rsid w:val="00E85278"/>
    <w:rsid w:val="00E878A3"/>
    <w:rsid w:val="00E90231"/>
    <w:rsid w:val="00E90705"/>
    <w:rsid w:val="00E90BD0"/>
    <w:rsid w:val="00E92834"/>
    <w:rsid w:val="00E92990"/>
    <w:rsid w:val="00E9316E"/>
    <w:rsid w:val="00E931AB"/>
    <w:rsid w:val="00E935CA"/>
    <w:rsid w:val="00E9404A"/>
    <w:rsid w:val="00E94341"/>
    <w:rsid w:val="00E95086"/>
    <w:rsid w:val="00E9589F"/>
    <w:rsid w:val="00E958A0"/>
    <w:rsid w:val="00E95950"/>
    <w:rsid w:val="00E965BB"/>
    <w:rsid w:val="00E967C3"/>
    <w:rsid w:val="00E96DF3"/>
    <w:rsid w:val="00E972F7"/>
    <w:rsid w:val="00E9755E"/>
    <w:rsid w:val="00E97E34"/>
    <w:rsid w:val="00EA0258"/>
    <w:rsid w:val="00EA0C27"/>
    <w:rsid w:val="00EA124E"/>
    <w:rsid w:val="00EA1260"/>
    <w:rsid w:val="00EA1399"/>
    <w:rsid w:val="00EA1AFA"/>
    <w:rsid w:val="00EA1FAB"/>
    <w:rsid w:val="00EA2BAB"/>
    <w:rsid w:val="00EA3488"/>
    <w:rsid w:val="00EA3B3E"/>
    <w:rsid w:val="00EA416D"/>
    <w:rsid w:val="00EA41DD"/>
    <w:rsid w:val="00EA4686"/>
    <w:rsid w:val="00EA56EA"/>
    <w:rsid w:val="00EA6694"/>
    <w:rsid w:val="00EA6A13"/>
    <w:rsid w:val="00EA7C86"/>
    <w:rsid w:val="00EB007A"/>
    <w:rsid w:val="00EB041A"/>
    <w:rsid w:val="00EB0473"/>
    <w:rsid w:val="00EB0B91"/>
    <w:rsid w:val="00EB15C8"/>
    <w:rsid w:val="00EB1742"/>
    <w:rsid w:val="00EB1FEC"/>
    <w:rsid w:val="00EB24EC"/>
    <w:rsid w:val="00EB53B5"/>
    <w:rsid w:val="00EB62F4"/>
    <w:rsid w:val="00EB7C71"/>
    <w:rsid w:val="00EC087D"/>
    <w:rsid w:val="00EC1104"/>
    <w:rsid w:val="00EC1F08"/>
    <w:rsid w:val="00EC276F"/>
    <w:rsid w:val="00EC4B65"/>
    <w:rsid w:val="00EC5836"/>
    <w:rsid w:val="00EC5C63"/>
    <w:rsid w:val="00EC5C84"/>
    <w:rsid w:val="00EC6672"/>
    <w:rsid w:val="00EC6FB3"/>
    <w:rsid w:val="00EC76C0"/>
    <w:rsid w:val="00EC7E9A"/>
    <w:rsid w:val="00ED0886"/>
    <w:rsid w:val="00ED0A3E"/>
    <w:rsid w:val="00ED0ADB"/>
    <w:rsid w:val="00ED1141"/>
    <w:rsid w:val="00ED12A3"/>
    <w:rsid w:val="00ED14A9"/>
    <w:rsid w:val="00ED1556"/>
    <w:rsid w:val="00ED19CF"/>
    <w:rsid w:val="00ED1F1E"/>
    <w:rsid w:val="00ED3C87"/>
    <w:rsid w:val="00ED3E45"/>
    <w:rsid w:val="00ED50B7"/>
    <w:rsid w:val="00ED5349"/>
    <w:rsid w:val="00ED577D"/>
    <w:rsid w:val="00ED6AE3"/>
    <w:rsid w:val="00ED706B"/>
    <w:rsid w:val="00ED717A"/>
    <w:rsid w:val="00ED7505"/>
    <w:rsid w:val="00EE0839"/>
    <w:rsid w:val="00EE09DC"/>
    <w:rsid w:val="00EE0E17"/>
    <w:rsid w:val="00EE1599"/>
    <w:rsid w:val="00EE1EF5"/>
    <w:rsid w:val="00EE205D"/>
    <w:rsid w:val="00EE279E"/>
    <w:rsid w:val="00EE30FC"/>
    <w:rsid w:val="00EE33B0"/>
    <w:rsid w:val="00EE4EE2"/>
    <w:rsid w:val="00EE7C33"/>
    <w:rsid w:val="00EF014C"/>
    <w:rsid w:val="00EF01B4"/>
    <w:rsid w:val="00EF0EA4"/>
    <w:rsid w:val="00EF1249"/>
    <w:rsid w:val="00EF1357"/>
    <w:rsid w:val="00EF19B8"/>
    <w:rsid w:val="00EF29DB"/>
    <w:rsid w:val="00EF372B"/>
    <w:rsid w:val="00EF4C32"/>
    <w:rsid w:val="00EF67BF"/>
    <w:rsid w:val="00EF6EAB"/>
    <w:rsid w:val="00EF7231"/>
    <w:rsid w:val="00F001E5"/>
    <w:rsid w:val="00F01701"/>
    <w:rsid w:val="00F023C6"/>
    <w:rsid w:val="00F030FA"/>
    <w:rsid w:val="00F03129"/>
    <w:rsid w:val="00F034BA"/>
    <w:rsid w:val="00F03CC9"/>
    <w:rsid w:val="00F048A9"/>
    <w:rsid w:val="00F05405"/>
    <w:rsid w:val="00F0557A"/>
    <w:rsid w:val="00F05829"/>
    <w:rsid w:val="00F0619F"/>
    <w:rsid w:val="00F06896"/>
    <w:rsid w:val="00F07324"/>
    <w:rsid w:val="00F1070E"/>
    <w:rsid w:val="00F11846"/>
    <w:rsid w:val="00F1221A"/>
    <w:rsid w:val="00F127D1"/>
    <w:rsid w:val="00F12888"/>
    <w:rsid w:val="00F1599C"/>
    <w:rsid w:val="00F15CF3"/>
    <w:rsid w:val="00F16507"/>
    <w:rsid w:val="00F16695"/>
    <w:rsid w:val="00F169E1"/>
    <w:rsid w:val="00F17C8B"/>
    <w:rsid w:val="00F200AB"/>
    <w:rsid w:val="00F22089"/>
    <w:rsid w:val="00F2221B"/>
    <w:rsid w:val="00F23B83"/>
    <w:rsid w:val="00F247AD"/>
    <w:rsid w:val="00F2507D"/>
    <w:rsid w:val="00F25457"/>
    <w:rsid w:val="00F25F59"/>
    <w:rsid w:val="00F26FE1"/>
    <w:rsid w:val="00F2733D"/>
    <w:rsid w:val="00F3018C"/>
    <w:rsid w:val="00F3076D"/>
    <w:rsid w:val="00F31297"/>
    <w:rsid w:val="00F315AC"/>
    <w:rsid w:val="00F32A58"/>
    <w:rsid w:val="00F32E0C"/>
    <w:rsid w:val="00F33408"/>
    <w:rsid w:val="00F3463D"/>
    <w:rsid w:val="00F34810"/>
    <w:rsid w:val="00F34F6A"/>
    <w:rsid w:val="00F350B2"/>
    <w:rsid w:val="00F351FE"/>
    <w:rsid w:val="00F355F0"/>
    <w:rsid w:val="00F35A16"/>
    <w:rsid w:val="00F35CDB"/>
    <w:rsid w:val="00F3632A"/>
    <w:rsid w:val="00F36333"/>
    <w:rsid w:val="00F37173"/>
    <w:rsid w:val="00F3787C"/>
    <w:rsid w:val="00F37C31"/>
    <w:rsid w:val="00F40294"/>
    <w:rsid w:val="00F40B9B"/>
    <w:rsid w:val="00F40C43"/>
    <w:rsid w:val="00F414E6"/>
    <w:rsid w:val="00F41DA3"/>
    <w:rsid w:val="00F420C9"/>
    <w:rsid w:val="00F43029"/>
    <w:rsid w:val="00F433D5"/>
    <w:rsid w:val="00F43701"/>
    <w:rsid w:val="00F4396C"/>
    <w:rsid w:val="00F43ADB"/>
    <w:rsid w:val="00F43E5F"/>
    <w:rsid w:val="00F4477E"/>
    <w:rsid w:val="00F44853"/>
    <w:rsid w:val="00F4498A"/>
    <w:rsid w:val="00F44A68"/>
    <w:rsid w:val="00F451DB"/>
    <w:rsid w:val="00F45AA5"/>
    <w:rsid w:val="00F461D9"/>
    <w:rsid w:val="00F462F4"/>
    <w:rsid w:val="00F46C06"/>
    <w:rsid w:val="00F46DA8"/>
    <w:rsid w:val="00F50021"/>
    <w:rsid w:val="00F504A9"/>
    <w:rsid w:val="00F5121C"/>
    <w:rsid w:val="00F513B9"/>
    <w:rsid w:val="00F51C27"/>
    <w:rsid w:val="00F52DA4"/>
    <w:rsid w:val="00F53471"/>
    <w:rsid w:val="00F53CFF"/>
    <w:rsid w:val="00F540CC"/>
    <w:rsid w:val="00F5492A"/>
    <w:rsid w:val="00F54F50"/>
    <w:rsid w:val="00F55517"/>
    <w:rsid w:val="00F56893"/>
    <w:rsid w:val="00F568D9"/>
    <w:rsid w:val="00F56B28"/>
    <w:rsid w:val="00F56DB7"/>
    <w:rsid w:val="00F5717F"/>
    <w:rsid w:val="00F57215"/>
    <w:rsid w:val="00F572CA"/>
    <w:rsid w:val="00F603AF"/>
    <w:rsid w:val="00F6061B"/>
    <w:rsid w:val="00F61078"/>
    <w:rsid w:val="00F6308A"/>
    <w:rsid w:val="00F64956"/>
    <w:rsid w:val="00F64AC1"/>
    <w:rsid w:val="00F64D86"/>
    <w:rsid w:val="00F65098"/>
    <w:rsid w:val="00F657D6"/>
    <w:rsid w:val="00F65875"/>
    <w:rsid w:val="00F662FA"/>
    <w:rsid w:val="00F672DF"/>
    <w:rsid w:val="00F67FA6"/>
    <w:rsid w:val="00F7001E"/>
    <w:rsid w:val="00F70183"/>
    <w:rsid w:val="00F7028E"/>
    <w:rsid w:val="00F71125"/>
    <w:rsid w:val="00F71AA1"/>
    <w:rsid w:val="00F72130"/>
    <w:rsid w:val="00F726E1"/>
    <w:rsid w:val="00F73606"/>
    <w:rsid w:val="00F7384D"/>
    <w:rsid w:val="00F741F7"/>
    <w:rsid w:val="00F74E9C"/>
    <w:rsid w:val="00F77D7F"/>
    <w:rsid w:val="00F801D1"/>
    <w:rsid w:val="00F80B62"/>
    <w:rsid w:val="00F814BE"/>
    <w:rsid w:val="00F829E3"/>
    <w:rsid w:val="00F82DE9"/>
    <w:rsid w:val="00F82FC2"/>
    <w:rsid w:val="00F83190"/>
    <w:rsid w:val="00F8351E"/>
    <w:rsid w:val="00F835FB"/>
    <w:rsid w:val="00F83A33"/>
    <w:rsid w:val="00F83E69"/>
    <w:rsid w:val="00F84736"/>
    <w:rsid w:val="00F8473F"/>
    <w:rsid w:val="00F85336"/>
    <w:rsid w:val="00F853E1"/>
    <w:rsid w:val="00F85FA6"/>
    <w:rsid w:val="00F8620B"/>
    <w:rsid w:val="00F86B52"/>
    <w:rsid w:val="00F871D6"/>
    <w:rsid w:val="00F9028C"/>
    <w:rsid w:val="00F90320"/>
    <w:rsid w:val="00F90AED"/>
    <w:rsid w:val="00F913AB"/>
    <w:rsid w:val="00F924CE"/>
    <w:rsid w:val="00F92805"/>
    <w:rsid w:val="00F9417F"/>
    <w:rsid w:val="00F9425D"/>
    <w:rsid w:val="00F94621"/>
    <w:rsid w:val="00F94B9C"/>
    <w:rsid w:val="00F95B0F"/>
    <w:rsid w:val="00F95F1A"/>
    <w:rsid w:val="00F96580"/>
    <w:rsid w:val="00F9783A"/>
    <w:rsid w:val="00FA0F19"/>
    <w:rsid w:val="00FA1F23"/>
    <w:rsid w:val="00FA4081"/>
    <w:rsid w:val="00FA4159"/>
    <w:rsid w:val="00FA479E"/>
    <w:rsid w:val="00FA4C9F"/>
    <w:rsid w:val="00FA5596"/>
    <w:rsid w:val="00FA6246"/>
    <w:rsid w:val="00FA6953"/>
    <w:rsid w:val="00FA7345"/>
    <w:rsid w:val="00FA7D23"/>
    <w:rsid w:val="00FB03AC"/>
    <w:rsid w:val="00FB1A2C"/>
    <w:rsid w:val="00FB270F"/>
    <w:rsid w:val="00FB491B"/>
    <w:rsid w:val="00FB56A6"/>
    <w:rsid w:val="00FB5BBD"/>
    <w:rsid w:val="00FB6753"/>
    <w:rsid w:val="00FB676F"/>
    <w:rsid w:val="00FB795F"/>
    <w:rsid w:val="00FB7A0A"/>
    <w:rsid w:val="00FC0A04"/>
    <w:rsid w:val="00FC0EC0"/>
    <w:rsid w:val="00FC11E0"/>
    <w:rsid w:val="00FC13AB"/>
    <w:rsid w:val="00FC5319"/>
    <w:rsid w:val="00FC59BF"/>
    <w:rsid w:val="00FC5F63"/>
    <w:rsid w:val="00FC6194"/>
    <w:rsid w:val="00FC688A"/>
    <w:rsid w:val="00FC6EC6"/>
    <w:rsid w:val="00FC7AE8"/>
    <w:rsid w:val="00FD0CC9"/>
    <w:rsid w:val="00FD0EC1"/>
    <w:rsid w:val="00FD0FDB"/>
    <w:rsid w:val="00FD150D"/>
    <w:rsid w:val="00FD232B"/>
    <w:rsid w:val="00FD29EB"/>
    <w:rsid w:val="00FD3D94"/>
    <w:rsid w:val="00FD4BE9"/>
    <w:rsid w:val="00FD763D"/>
    <w:rsid w:val="00FD780D"/>
    <w:rsid w:val="00FD79B6"/>
    <w:rsid w:val="00FE00FD"/>
    <w:rsid w:val="00FE0988"/>
    <w:rsid w:val="00FE1EA7"/>
    <w:rsid w:val="00FE209D"/>
    <w:rsid w:val="00FE28AA"/>
    <w:rsid w:val="00FE45E5"/>
    <w:rsid w:val="00FE49F0"/>
    <w:rsid w:val="00FE4ADB"/>
    <w:rsid w:val="00FE514C"/>
    <w:rsid w:val="00FE5B00"/>
    <w:rsid w:val="00FE603C"/>
    <w:rsid w:val="00FE680F"/>
    <w:rsid w:val="00FE6BF5"/>
    <w:rsid w:val="00FE6DF0"/>
    <w:rsid w:val="00FE7614"/>
    <w:rsid w:val="00FE7707"/>
    <w:rsid w:val="00FF0035"/>
    <w:rsid w:val="00FF0BCB"/>
    <w:rsid w:val="00FF1115"/>
    <w:rsid w:val="00FF188C"/>
    <w:rsid w:val="00FF2166"/>
    <w:rsid w:val="00FF26D4"/>
    <w:rsid w:val="00FF2F34"/>
    <w:rsid w:val="00FF35FE"/>
    <w:rsid w:val="00FF41E6"/>
    <w:rsid w:val="00FF4592"/>
    <w:rsid w:val="00FF4F23"/>
    <w:rsid w:val="00FF5389"/>
    <w:rsid w:val="00FF6258"/>
    <w:rsid w:val="00FF69B4"/>
    <w:rsid w:val="00FF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B82AB"/>
  <w15:chartTrackingRefBased/>
  <w15:docId w15:val="{14C2EDF5-CFE2-4D2C-BDC5-40E5836B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9BD"/>
  </w:style>
  <w:style w:type="paragraph" w:styleId="Heading1">
    <w:name w:val="heading 1"/>
    <w:basedOn w:val="Normal"/>
    <w:next w:val="Normal"/>
    <w:link w:val="Heading1Char"/>
    <w:uiPriority w:val="9"/>
    <w:qFormat/>
    <w:rsid w:val="004F09BD"/>
    <w:pPr>
      <w:keepNext/>
      <w:keepLines/>
      <w:spacing w:before="240" w:after="0"/>
      <w:outlineLvl w:val="0"/>
    </w:pPr>
    <w:rPr>
      <w:rFonts w:ascii="Arial" w:eastAsiaTheme="majorEastAsia" w:hAnsi="Arial"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09BD"/>
    <w:pPr>
      <w:keepNext/>
      <w:keepLines/>
      <w:spacing w:before="40" w:after="0"/>
      <w:outlineLvl w:val="1"/>
    </w:pPr>
    <w:rPr>
      <w:rFonts w:ascii="Arial" w:eastAsiaTheme="majorEastAsia" w:hAnsi="Arial"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F09BD"/>
    <w:pPr>
      <w:keepNext/>
      <w:keepLines/>
      <w:spacing w:before="40" w:after="0"/>
      <w:outlineLvl w:val="2"/>
    </w:pPr>
    <w:rPr>
      <w:rFonts w:ascii="Arial" w:eastAsiaTheme="majorEastAsia" w:hAnsi="Arial"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F09BD"/>
    <w:pPr>
      <w:keepNext/>
      <w:keepLines/>
      <w:spacing w:before="40" w:after="0"/>
      <w:outlineLvl w:val="3"/>
    </w:pPr>
    <w:rPr>
      <w:rFonts w:ascii="Arial" w:eastAsiaTheme="majorEastAsia" w:hAnsi="Arial" w:cstheme="majorBidi"/>
      <w:i/>
      <w:iCs/>
      <w:color w:val="2F5496" w:themeColor="accent1" w:themeShade="BF"/>
    </w:rPr>
  </w:style>
  <w:style w:type="paragraph" w:styleId="Heading5">
    <w:name w:val="heading 5"/>
    <w:basedOn w:val="Normal"/>
    <w:next w:val="Normal"/>
    <w:link w:val="Heading5Char"/>
    <w:uiPriority w:val="9"/>
    <w:unhideWhenUsed/>
    <w:qFormat/>
    <w:rsid w:val="004F09BD"/>
    <w:pPr>
      <w:keepNext/>
      <w:keepLines/>
      <w:spacing w:before="40" w:after="0"/>
      <w:outlineLvl w:val="4"/>
    </w:pPr>
    <w:rPr>
      <w:rFonts w:ascii="Arial" w:eastAsiaTheme="majorEastAsia" w:hAnsi="Arial"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9B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4F09BD"/>
    <w:rPr>
      <w:rFonts w:ascii="Arial" w:eastAsiaTheme="majorEastAsia" w:hAnsi="Arial" w:cstheme="majorBidi"/>
      <w:color w:val="2F5496" w:themeColor="accent1" w:themeShade="BF"/>
      <w:sz w:val="26"/>
      <w:szCs w:val="26"/>
    </w:rPr>
  </w:style>
  <w:style w:type="character" w:customStyle="1" w:styleId="Heading3Char">
    <w:name w:val="Heading 3 Char"/>
    <w:basedOn w:val="DefaultParagraphFont"/>
    <w:link w:val="Heading3"/>
    <w:uiPriority w:val="9"/>
    <w:rsid w:val="004F09BD"/>
    <w:rPr>
      <w:rFonts w:ascii="Arial" w:eastAsiaTheme="majorEastAsia" w:hAnsi="Arial" w:cstheme="majorBidi"/>
      <w:color w:val="1F3763" w:themeColor="accent1" w:themeShade="7F"/>
      <w:sz w:val="24"/>
      <w:szCs w:val="24"/>
    </w:rPr>
  </w:style>
  <w:style w:type="character" w:customStyle="1" w:styleId="Heading4Char">
    <w:name w:val="Heading 4 Char"/>
    <w:basedOn w:val="DefaultParagraphFont"/>
    <w:link w:val="Heading4"/>
    <w:uiPriority w:val="9"/>
    <w:rsid w:val="004F09BD"/>
    <w:rPr>
      <w:rFonts w:ascii="Arial" w:eastAsiaTheme="majorEastAsia" w:hAnsi="Arial" w:cstheme="majorBidi"/>
      <w:i/>
      <w:iCs/>
      <w:color w:val="2F5496" w:themeColor="accent1" w:themeShade="BF"/>
    </w:rPr>
  </w:style>
  <w:style w:type="paragraph" w:styleId="ListParagraph">
    <w:name w:val="List Paragraph"/>
    <w:basedOn w:val="Normal"/>
    <w:uiPriority w:val="34"/>
    <w:qFormat/>
    <w:rsid w:val="001F093E"/>
    <w:pPr>
      <w:ind w:left="720"/>
      <w:contextualSpacing/>
    </w:pPr>
  </w:style>
  <w:style w:type="character" w:styleId="CommentReference">
    <w:name w:val="annotation reference"/>
    <w:basedOn w:val="DefaultParagraphFont"/>
    <w:uiPriority w:val="99"/>
    <w:semiHidden/>
    <w:unhideWhenUsed/>
    <w:rsid w:val="00E358B1"/>
    <w:rPr>
      <w:sz w:val="16"/>
      <w:szCs w:val="16"/>
    </w:rPr>
  </w:style>
  <w:style w:type="paragraph" w:styleId="CommentText">
    <w:name w:val="annotation text"/>
    <w:basedOn w:val="Normal"/>
    <w:link w:val="CommentTextChar"/>
    <w:uiPriority w:val="99"/>
    <w:semiHidden/>
    <w:unhideWhenUsed/>
    <w:rsid w:val="00E358B1"/>
    <w:pPr>
      <w:spacing w:line="240" w:lineRule="auto"/>
    </w:pPr>
    <w:rPr>
      <w:sz w:val="20"/>
      <w:szCs w:val="20"/>
    </w:rPr>
  </w:style>
  <w:style w:type="character" w:customStyle="1" w:styleId="CommentTextChar">
    <w:name w:val="Comment Text Char"/>
    <w:basedOn w:val="DefaultParagraphFont"/>
    <w:link w:val="CommentText"/>
    <w:uiPriority w:val="99"/>
    <w:semiHidden/>
    <w:rsid w:val="00E358B1"/>
    <w:rPr>
      <w:sz w:val="20"/>
      <w:szCs w:val="20"/>
    </w:rPr>
  </w:style>
  <w:style w:type="paragraph" w:styleId="CommentSubject">
    <w:name w:val="annotation subject"/>
    <w:basedOn w:val="CommentText"/>
    <w:next w:val="CommentText"/>
    <w:link w:val="CommentSubjectChar"/>
    <w:uiPriority w:val="99"/>
    <w:semiHidden/>
    <w:unhideWhenUsed/>
    <w:rsid w:val="00E358B1"/>
    <w:rPr>
      <w:b/>
      <w:bCs/>
    </w:rPr>
  </w:style>
  <w:style w:type="character" w:customStyle="1" w:styleId="CommentSubjectChar">
    <w:name w:val="Comment Subject Char"/>
    <w:basedOn w:val="CommentTextChar"/>
    <w:link w:val="CommentSubject"/>
    <w:uiPriority w:val="99"/>
    <w:semiHidden/>
    <w:rsid w:val="00E358B1"/>
    <w:rPr>
      <w:b/>
      <w:bCs/>
      <w:sz w:val="20"/>
      <w:szCs w:val="20"/>
    </w:rPr>
  </w:style>
  <w:style w:type="paragraph" w:styleId="BalloonText">
    <w:name w:val="Balloon Text"/>
    <w:basedOn w:val="Normal"/>
    <w:link w:val="BalloonTextChar"/>
    <w:uiPriority w:val="99"/>
    <w:semiHidden/>
    <w:unhideWhenUsed/>
    <w:rsid w:val="00E35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8B1"/>
    <w:rPr>
      <w:rFonts w:ascii="Segoe UI" w:hAnsi="Segoe UI" w:cs="Segoe UI"/>
      <w:sz w:val="18"/>
      <w:szCs w:val="18"/>
    </w:rPr>
  </w:style>
  <w:style w:type="paragraph" w:styleId="Header">
    <w:name w:val="header"/>
    <w:basedOn w:val="Normal"/>
    <w:link w:val="HeaderChar"/>
    <w:uiPriority w:val="99"/>
    <w:unhideWhenUsed/>
    <w:rsid w:val="00A97C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C4E"/>
  </w:style>
  <w:style w:type="paragraph" w:styleId="Footer">
    <w:name w:val="footer"/>
    <w:basedOn w:val="Normal"/>
    <w:link w:val="FooterChar"/>
    <w:uiPriority w:val="99"/>
    <w:unhideWhenUsed/>
    <w:rsid w:val="00A97C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C4E"/>
  </w:style>
  <w:style w:type="paragraph" w:styleId="NoSpacing">
    <w:name w:val="No Spacing"/>
    <w:link w:val="NoSpacingChar"/>
    <w:uiPriority w:val="1"/>
    <w:qFormat/>
    <w:rsid w:val="00A0649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06498"/>
    <w:rPr>
      <w:rFonts w:eastAsiaTheme="minorEastAsia"/>
      <w:lang w:val="en-US"/>
    </w:rPr>
  </w:style>
  <w:style w:type="table" w:styleId="TableGrid">
    <w:name w:val="Table Grid"/>
    <w:basedOn w:val="TableNormal"/>
    <w:uiPriority w:val="39"/>
    <w:rsid w:val="00610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05C7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C79"/>
    <w:rPr>
      <w:rFonts w:asciiTheme="majorHAnsi" w:eastAsiaTheme="majorEastAsia" w:hAnsiTheme="majorHAnsi" w:cstheme="majorBidi"/>
      <w:spacing w:val="-10"/>
      <w:kern w:val="28"/>
      <w:sz w:val="56"/>
      <w:szCs w:val="56"/>
    </w:rPr>
  </w:style>
  <w:style w:type="table" w:customStyle="1" w:styleId="TableGrid1">
    <w:name w:val="Table Grid1"/>
    <w:basedOn w:val="TableNormal"/>
    <w:next w:val="TableGrid"/>
    <w:uiPriority w:val="39"/>
    <w:rsid w:val="00CC1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C1A0D"/>
    <w:pPr>
      <w:outlineLvl w:val="9"/>
    </w:pPr>
    <w:rPr>
      <w:lang w:val="en-US"/>
    </w:rPr>
  </w:style>
  <w:style w:type="paragraph" w:styleId="TOC1">
    <w:name w:val="toc 1"/>
    <w:basedOn w:val="Normal"/>
    <w:next w:val="Normal"/>
    <w:autoRedefine/>
    <w:uiPriority w:val="39"/>
    <w:unhideWhenUsed/>
    <w:rsid w:val="00C224B4"/>
    <w:pPr>
      <w:tabs>
        <w:tab w:val="right" w:leader="dot" w:pos="9605"/>
      </w:tabs>
      <w:spacing w:after="100"/>
    </w:pPr>
    <w:rPr>
      <w:rFonts w:ascii="Arial" w:hAnsi="Arial"/>
    </w:rPr>
  </w:style>
  <w:style w:type="paragraph" w:styleId="TOC2">
    <w:name w:val="toc 2"/>
    <w:basedOn w:val="Normal"/>
    <w:next w:val="Normal"/>
    <w:autoRedefine/>
    <w:uiPriority w:val="39"/>
    <w:unhideWhenUsed/>
    <w:rsid w:val="00CC1A0D"/>
    <w:pPr>
      <w:spacing w:after="100"/>
      <w:ind w:left="220"/>
    </w:pPr>
  </w:style>
  <w:style w:type="character" w:styleId="Hyperlink">
    <w:name w:val="Hyperlink"/>
    <w:basedOn w:val="DefaultParagraphFont"/>
    <w:uiPriority w:val="99"/>
    <w:unhideWhenUsed/>
    <w:rsid w:val="00806E82"/>
    <w:rPr>
      <w:rFonts w:ascii="Arial" w:hAnsi="Arial"/>
      <w:color w:val="auto"/>
      <w:u w:val="single"/>
    </w:rPr>
  </w:style>
  <w:style w:type="paragraph" w:styleId="TOC3">
    <w:name w:val="toc 3"/>
    <w:basedOn w:val="Normal"/>
    <w:next w:val="Normal"/>
    <w:autoRedefine/>
    <w:uiPriority w:val="39"/>
    <w:unhideWhenUsed/>
    <w:rsid w:val="00C224B4"/>
    <w:pPr>
      <w:tabs>
        <w:tab w:val="right" w:leader="dot" w:pos="9605"/>
      </w:tabs>
      <w:spacing w:after="100"/>
      <w:ind w:left="440"/>
    </w:pPr>
    <w:rPr>
      <w:rFonts w:eastAsiaTheme="minorEastAsia" w:cs="Times New Roman"/>
      <w:lang w:val="en-US"/>
    </w:rPr>
  </w:style>
  <w:style w:type="paragraph" w:styleId="TOC4">
    <w:name w:val="toc 4"/>
    <w:basedOn w:val="Normal"/>
    <w:next w:val="Normal"/>
    <w:autoRedefine/>
    <w:uiPriority w:val="39"/>
    <w:unhideWhenUsed/>
    <w:rsid w:val="00DA0152"/>
    <w:pPr>
      <w:spacing w:after="100"/>
      <w:ind w:left="660"/>
    </w:pPr>
    <w:rPr>
      <w:rFonts w:eastAsiaTheme="minorEastAsia"/>
      <w:lang w:eastAsia="en-GB"/>
    </w:rPr>
  </w:style>
  <w:style w:type="paragraph" w:styleId="TOC5">
    <w:name w:val="toc 5"/>
    <w:basedOn w:val="Normal"/>
    <w:next w:val="Normal"/>
    <w:autoRedefine/>
    <w:uiPriority w:val="39"/>
    <w:unhideWhenUsed/>
    <w:rsid w:val="00DA0152"/>
    <w:pPr>
      <w:spacing w:after="100"/>
      <w:ind w:left="880"/>
    </w:pPr>
    <w:rPr>
      <w:rFonts w:eastAsiaTheme="minorEastAsia"/>
      <w:lang w:eastAsia="en-GB"/>
    </w:rPr>
  </w:style>
  <w:style w:type="paragraph" w:styleId="TOC6">
    <w:name w:val="toc 6"/>
    <w:basedOn w:val="Normal"/>
    <w:next w:val="Normal"/>
    <w:autoRedefine/>
    <w:uiPriority w:val="39"/>
    <w:unhideWhenUsed/>
    <w:rsid w:val="00DA0152"/>
    <w:pPr>
      <w:spacing w:after="100"/>
      <w:ind w:left="1100"/>
    </w:pPr>
    <w:rPr>
      <w:rFonts w:eastAsiaTheme="minorEastAsia"/>
      <w:lang w:eastAsia="en-GB"/>
    </w:rPr>
  </w:style>
  <w:style w:type="paragraph" w:styleId="TOC7">
    <w:name w:val="toc 7"/>
    <w:basedOn w:val="Normal"/>
    <w:next w:val="Normal"/>
    <w:autoRedefine/>
    <w:uiPriority w:val="39"/>
    <w:unhideWhenUsed/>
    <w:rsid w:val="00DA0152"/>
    <w:pPr>
      <w:spacing w:after="100"/>
      <w:ind w:left="1320"/>
    </w:pPr>
    <w:rPr>
      <w:rFonts w:eastAsiaTheme="minorEastAsia"/>
      <w:lang w:eastAsia="en-GB"/>
    </w:rPr>
  </w:style>
  <w:style w:type="paragraph" w:styleId="TOC8">
    <w:name w:val="toc 8"/>
    <w:basedOn w:val="Normal"/>
    <w:next w:val="Normal"/>
    <w:autoRedefine/>
    <w:uiPriority w:val="39"/>
    <w:unhideWhenUsed/>
    <w:rsid w:val="00DA0152"/>
    <w:pPr>
      <w:spacing w:after="100"/>
      <w:ind w:left="1540"/>
    </w:pPr>
    <w:rPr>
      <w:rFonts w:eastAsiaTheme="minorEastAsia"/>
      <w:lang w:eastAsia="en-GB"/>
    </w:rPr>
  </w:style>
  <w:style w:type="paragraph" w:styleId="TOC9">
    <w:name w:val="toc 9"/>
    <w:basedOn w:val="Normal"/>
    <w:next w:val="Normal"/>
    <w:autoRedefine/>
    <w:uiPriority w:val="39"/>
    <w:unhideWhenUsed/>
    <w:rsid w:val="00DA0152"/>
    <w:pPr>
      <w:spacing w:after="100"/>
      <w:ind w:left="1760"/>
    </w:pPr>
    <w:rPr>
      <w:rFonts w:eastAsiaTheme="minorEastAsia"/>
      <w:lang w:eastAsia="en-GB"/>
    </w:rPr>
  </w:style>
  <w:style w:type="character" w:styleId="UnresolvedMention">
    <w:name w:val="Unresolved Mention"/>
    <w:basedOn w:val="DefaultParagraphFont"/>
    <w:uiPriority w:val="99"/>
    <w:semiHidden/>
    <w:unhideWhenUsed/>
    <w:rsid w:val="00DA0152"/>
    <w:rPr>
      <w:color w:val="605E5C"/>
      <w:shd w:val="clear" w:color="auto" w:fill="E1DFDD"/>
    </w:rPr>
  </w:style>
  <w:style w:type="paragraph" w:customStyle="1" w:styleId="EndNoteBibliographyTitle">
    <w:name w:val="EndNote Bibliography Title"/>
    <w:basedOn w:val="Normal"/>
    <w:link w:val="EndNoteBibliographyTitleChar"/>
    <w:rsid w:val="00466D5D"/>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66D5D"/>
    <w:rPr>
      <w:rFonts w:ascii="Calibri" w:hAnsi="Calibri" w:cs="Calibri"/>
      <w:noProof/>
      <w:lang w:val="en-US"/>
    </w:rPr>
  </w:style>
  <w:style w:type="paragraph" w:customStyle="1" w:styleId="EndNoteBibliography">
    <w:name w:val="EndNote Bibliography"/>
    <w:basedOn w:val="Normal"/>
    <w:link w:val="EndNoteBibliographyChar"/>
    <w:rsid w:val="00466D5D"/>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466D5D"/>
    <w:rPr>
      <w:rFonts w:ascii="Calibri" w:hAnsi="Calibri" w:cs="Calibri"/>
      <w:noProof/>
      <w:lang w:val="en-US"/>
    </w:rPr>
  </w:style>
  <w:style w:type="paragraph" w:styleId="NormalWeb">
    <w:name w:val="Normal (Web)"/>
    <w:basedOn w:val="Normal"/>
    <w:uiPriority w:val="99"/>
    <w:semiHidden/>
    <w:unhideWhenUsed/>
    <w:rsid w:val="004D4602"/>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083E9C"/>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rsid w:val="004F09BD"/>
    <w:rPr>
      <w:rFonts w:ascii="Arial" w:eastAsiaTheme="majorEastAsia" w:hAnsi="Arial" w:cstheme="majorBidi"/>
      <w:color w:val="2F5496" w:themeColor="accent1" w:themeShade="BF"/>
    </w:rPr>
  </w:style>
  <w:style w:type="paragraph" w:styleId="Revision">
    <w:name w:val="Revision"/>
    <w:hidden/>
    <w:uiPriority w:val="99"/>
    <w:semiHidden/>
    <w:rsid w:val="00412407"/>
    <w:pPr>
      <w:spacing w:after="0" w:line="240" w:lineRule="auto"/>
    </w:pPr>
  </w:style>
  <w:style w:type="character" w:customStyle="1" w:styleId="UnresolvedMention1">
    <w:name w:val="Unresolved Mention1"/>
    <w:basedOn w:val="DefaultParagraphFont"/>
    <w:uiPriority w:val="99"/>
    <w:semiHidden/>
    <w:unhideWhenUsed/>
    <w:rsid w:val="0096507A"/>
    <w:rPr>
      <w:color w:val="605E5C"/>
      <w:shd w:val="clear" w:color="auto" w:fill="E1DFDD"/>
    </w:rPr>
  </w:style>
  <w:style w:type="character" w:customStyle="1" w:styleId="fontstyle01">
    <w:name w:val="fontstyle01"/>
    <w:basedOn w:val="DefaultParagraphFont"/>
    <w:rsid w:val="00294009"/>
    <w:rPr>
      <w:rFonts w:ascii="CIDFont+F7" w:hAnsi="CIDFont+F7"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54332">
      <w:bodyDiv w:val="1"/>
      <w:marLeft w:val="0"/>
      <w:marRight w:val="0"/>
      <w:marTop w:val="0"/>
      <w:marBottom w:val="0"/>
      <w:divBdr>
        <w:top w:val="none" w:sz="0" w:space="0" w:color="auto"/>
        <w:left w:val="none" w:sz="0" w:space="0" w:color="auto"/>
        <w:bottom w:val="none" w:sz="0" w:space="0" w:color="auto"/>
        <w:right w:val="none" w:sz="0" w:space="0" w:color="auto"/>
      </w:divBdr>
    </w:div>
    <w:div w:id="119615856">
      <w:bodyDiv w:val="1"/>
      <w:marLeft w:val="0"/>
      <w:marRight w:val="0"/>
      <w:marTop w:val="0"/>
      <w:marBottom w:val="0"/>
      <w:divBdr>
        <w:top w:val="none" w:sz="0" w:space="0" w:color="auto"/>
        <w:left w:val="none" w:sz="0" w:space="0" w:color="auto"/>
        <w:bottom w:val="none" w:sz="0" w:space="0" w:color="auto"/>
        <w:right w:val="none" w:sz="0" w:space="0" w:color="auto"/>
      </w:divBdr>
    </w:div>
    <w:div w:id="233319532">
      <w:bodyDiv w:val="1"/>
      <w:marLeft w:val="0"/>
      <w:marRight w:val="0"/>
      <w:marTop w:val="0"/>
      <w:marBottom w:val="0"/>
      <w:divBdr>
        <w:top w:val="none" w:sz="0" w:space="0" w:color="auto"/>
        <w:left w:val="none" w:sz="0" w:space="0" w:color="auto"/>
        <w:bottom w:val="none" w:sz="0" w:space="0" w:color="auto"/>
        <w:right w:val="none" w:sz="0" w:space="0" w:color="auto"/>
      </w:divBdr>
      <w:divsChild>
        <w:div w:id="1878544921">
          <w:marLeft w:val="0"/>
          <w:marRight w:val="0"/>
          <w:marTop w:val="0"/>
          <w:marBottom w:val="0"/>
          <w:divBdr>
            <w:top w:val="none" w:sz="0" w:space="0" w:color="auto"/>
            <w:left w:val="none" w:sz="0" w:space="0" w:color="auto"/>
            <w:bottom w:val="none" w:sz="0" w:space="0" w:color="auto"/>
            <w:right w:val="none" w:sz="0" w:space="0" w:color="auto"/>
          </w:divBdr>
        </w:div>
        <w:div w:id="736707145">
          <w:marLeft w:val="0"/>
          <w:marRight w:val="0"/>
          <w:marTop w:val="0"/>
          <w:marBottom w:val="0"/>
          <w:divBdr>
            <w:top w:val="none" w:sz="0" w:space="0" w:color="auto"/>
            <w:left w:val="none" w:sz="0" w:space="0" w:color="auto"/>
            <w:bottom w:val="none" w:sz="0" w:space="0" w:color="auto"/>
            <w:right w:val="none" w:sz="0" w:space="0" w:color="auto"/>
          </w:divBdr>
        </w:div>
        <w:div w:id="302544182">
          <w:marLeft w:val="0"/>
          <w:marRight w:val="0"/>
          <w:marTop w:val="0"/>
          <w:marBottom w:val="0"/>
          <w:divBdr>
            <w:top w:val="none" w:sz="0" w:space="0" w:color="auto"/>
            <w:left w:val="none" w:sz="0" w:space="0" w:color="auto"/>
            <w:bottom w:val="none" w:sz="0" w:space="0" w:color="auto"/>
            <w:right w:val="none" w:sz="0" w:space="0" w:color="auto"/>
          </w:divBdr>
        </w:div>
        <w:div w:id="1266814048">
          <w:marLeft w:val="0"/>
          <w:marRight w:val="0"/>
          <w:marTop w:val="0"/>
          <w:marBottom w:val="0"/>
          <w:divBdr>
            <w:top w:val="none" w:sz="0" w:space="0" w:color="auto"/>
            <w:left w:val="none" w:sz="0" w:space="0" w:color="auto"/>
            <w:bottom w:val="none" w:sz="0" w:space="0" w:color="auto"/>
            <w:right w:val="none" w:sz="0" w:space="0" w:color="auto"/>
          </w:divBdr>
        </w:div>
        <w:div w:id="1112822357">
          <w:marLeft w:val="0"/>
          <w:marRight w:val="0"/>
          <w:marTop w:val="0"/>
          <w:marBottom w:val="0"/>
          <w:divBdr>
            <w:top w:val="none" w:sz="0" w:space="0" w:color="auto"/>
            <w:left w:val="none" w:sz="0" w:space="0" w:color="auto"/>
            <w:bottom w:val="none" w:sz="0" w:space="0" w:color="auto"/>
            <w:right w:val="none" w:sz="0" w:space="0" w:color="auto"/>
          </w:divBdr>
        </w:div>
        <w:div w:id="396438423">
          <w:marLeft w:val="0"/>
          <w:marRight w:val="0"/>
          <w:marTop w:val="0"/>
          <w:marBottom w:val="0"/>
          <w:divBdr>
            <w:top w:val="none" w:sz="0" w:space="0" w:color="auto"/>
            <w:left w:val="none" w:sz="0" w:space="0" w:color="auto"/>
            <w:bottom w:val="none" w:sz="0" w:space="0" w:color="auto"/>
            <w:right w:val="none" w:sz="0" w:space="0" w:color="auto"/>
          </w:divBdr>
        </w:div>
        <w:div w:id="1518929003">
          <w:marLeft w:val="0"/>
          <w:marRight w:val="0"/>
          <w:marTop w:val="0"/>
          <w:marBottom w:val="0"/>
          <w:divBdr>
            <w:top w:val="none" w:sz="0" w:space="0" w:color="auto"/>
            <w:left w:val="none" w:sz="0" w:space="0" w:color="auto"/>
            <w:bottom w:val="none" w:sz="0" w:space="0" w:color="auto"/>
            <w:right w:val="none" w:sz="0" w:space="0" w:color="auto"/>
          </w:divBdr>
        </w:div>
        <w:div w:id="1947693941">
          <w:marLeft w:val="0"/>
          <w:marRight w:val="0"/>
          <w:marTop w:val="0"/>
          <w:marBottom w:val="0"/>
          <w:divBdr>
            <w:top w:val="none" w:sz="0" w:space="0" w:color="auto"/>
            <w:left w:val="none" w:sz="0" w:space="0" w:color="auto"/>
            <w:bottom w:val="none" w:sz="0" w:space="0" w:color="auto"/>
            <w:right w:val="none" w:sz="0" w:space="0" w:color="auto"/>
          </w:divBdr>
        </w:div>
        <w:div w:id="7830205">
          <w:marLeft w:val="0"/>
          <w:marRight w:val="0"/>
          <w:marTop w:val="0"/>
          <w:marBottom w:val="0"/>
          <w:divBdr>
            <w:top w:val="none" w:sz="0" w:space="0" w:color="auto"/>
            <w:left w:val="none" w:sz="0" w:space="0" w:color="auto"/>
            <w:bottom w:val="none" w:sz="0" w:space="0" w:color="auto"/>
            <w:right w:val="none" w:sz="0" w:space="0" w:color="auto"/>
          </w:divBdr>
        </w:div>
        <w:div w:id="1091387488">
          <w:marLeft w:val="0"/>
          <w:marRight w:val="0"/>
          <w:marTop w:val="0"/>
          <w:marBottom w:val="0"/>
          <w:divBdr>
            <w:top w:val="none" w:sz="0" w:space="0" w:color="auto"/>
            <w:left w:val="none" w:sz="0" w:space="0" w:color="auto"/>
            <w:bottom w:val="none" w:sz="0" w:space="0" w:color="auto"/>
            <w:right w:val="none" w:sz="0" w:space="0" w:color="auto"/>
          </w:divBdr>
        </w:div>
        <w:div w:id="906769395">
          <w:marLeft w:val="0"/>
          <w:marRight w:val="0"/>
          <w:marTop w:val="0"/>
          <w:marBottom w:val="0"/>
          <w:divBdr>
            <w:top w:val="none" w:sz="0" w:space="0" w:color="auto"/>
            <w:left w:val="none" w:sz="0" w:space="0" w:color="auto"/>
            <w:bottom w:val="none" w:sz="0" w:space="0" w:color="auto"/>
            <w:right w:val="none" w:sz="0" w:space="0" w:color="auto"/>
          </w:divBdr>
        </w:div>
        <w:div w:id="2017421152">
          <w:marLeft w:val="0"/>
          <w:marRight w:val="0"/>
          <w:marTop w:val="0"/>
          <w:marBottom w:val="0"/>
          <w:divBdr>
            <w:top w:val="none" w:sz="0" w:space="0" w:color="auto"/>
            <w:left w:val="none" w:sz="0" w:space="0" w:color="auto"/>
            <w:bottom w:val="none" w:sz="0" w:space="0" w:color="auto"/>
            <w:right w:val="none" w:sz="0" w:space="0" w:color="auto"/>
          </w:divBdr>
        </w:div>
        <w:div w:id="1950619360">
          <w:marLeft w:val="0"/>
          <w:marRight w:val="0"/>
          <w:marTop w:val="0"/>
          <w:marBottom w:val="0"/>
          <w:divBdr>
            <w:top w:val="none" w:sz="0" w:space="0" w:color="auto"/>
            <w:left w:val="none" w:sz="0" w:space="0" w:color="auto"/>
            <w:bottom w:val="none" w:sz="0" w:space="0" w:color="auto"/>
            <w:right w:val="none" w:sz="0" w:space="0" w:color="auto"/>
          </w:divBdr>
        </w:div>
        <w:div w:id="253827061">
          <w:marLeft w:val="0"/>
          <w:marRight w:val="0"/>
          <w:marTop w:val="0"/>
          <w:marBottom w:val="0"/>
          <w:divBdr>
            <w:top w:val="none" w:sz="0" w:space="0" w:color="auto"/>
            <w:left w:val="none" w:sz="0" w:space="0" w:color="auto"/>
            <w:bottom w:val="none" w:sz="0" w:space="0" w:color="auto"/>
            <w:right w:val="none" w:sz="0" w:space="0" w:color="auto"/>
          </w:divBdr>
        </w:div>
        <w:div w:id="300309014">
          <w:marLeft w:val="0"/>
          <w:marRight w:val="0"/>
          <w:marTop w:val="0"/>
          <w:marBottom w:val="0"/>
          <w:divBdr>
            <w:top w:val="none" w:sz="0" w:space="0" w:color="auto"/>
            <w:left w:val="none" w:sz="0" w:space="0" w:color="auto"/>
            <w:bottom w:val="none" w:sz="0" w:space="0" w:color="auto"/>
            <w:right w:val="none" w:sz="0" w:space="0" w:color="auto"/>
          </w:divBdr>
        </w:div>
        <w:div w:id="285620929">
          <w:marLeft w:val="0"/>
          <w:marRight w:val="0"/>
          <w:marTop w:val="0"/>
          <w:marBottom w:val="0"/>
          <w:divBdr>
            <w:top w:val="none" w:sz="0" w:space="0" w:color="auto"/>
            <w:left w:val="none" w:sz="0" w:space="0" w:color="auto"/>
            <w:bottom w:val="none" w:sz="0" w:space="0" w:color="auto"/>
            <w:right w:val="none" w:sz="0" w:space="0" w:color="auto"/>
          </w:divBdr>
        </w:div>
        <w:div w:id="111902071">
          <w:marLeft w:val="0"/>
          <w:marRight w:val="0"/>
          <w:marTop w:val="0"/>
          <w:marBottom w:val="0"/>
          <w:divBdr>
            <w:top w:val="none" w:sz="0" w:space="0" w:color="auto"/>
            <w:left w:val="none" w:sz="0" w:space="0" w:color="auto"/>
            <w:bottom w:val="none" w:sz="0" w:space="0" w:color="auto"/>
            <w:right w:val="none" w:sz="0" w:space="0" w:color="auto"/>
          </w:divBdr>
        </w:div>
        <w:div w:id="1522088727">
          <w:marLeft w:val="0"/>
          <w:marRight w:val="0"/>
          <w:marTop w:val="0"/>
          <w:marBottom w:val="0"/>
          <w:divBdr>
            <w:top w:val="none" w:sz="0" w:space="0" w:color="auto"/>
            <w:left w:val="none" w:sz="0" w:space="0" w:color="auto"/>
            <w:bottom w:val="none" w:sz="0" w:space="0" w:color="auto"/>
            <w:right w:val="none" w:sz="0" w:space="0" w:color="auto"/>
          </w:divBdr>
        </w:div>
        <w:div w:id="1986666609">
          <w:marLeft w:val="0"/>
          <w:marRight w:val="0"/>
          <w:marTop w:val="0"/>
          <w:marBottom w:val="0"/>
          <w:divBdr>
            <w:top w:val="none" w:sz="0" w:space="0" w:color="auto"/>
            <w:left w:val="none" w:sz="0" w:space="0" w:color="auto"/>
            <w:bottom w:val="none" w:sz="0" w:space="0" w:color="auto"/>
            <w:right w:val="none" w:sz="0" w:space="0" w:color="auto"/>
          </w:divBdr>
        </w:div>
        <w:div w:id="587690241">
          <w:marLeft w:val="0"/>
          <w:marRight w:val="0"/>
          <w:marTop w:val="0"/>
          <w:marBottom w:val="0"/>
          <w:divBdr>
            <w:top w:val="none" w:sz="0" w:space="0" w:color="auto"/>
            <w:left w:val="none" w:sz="0" w:space="0" w:color="auto"/>
            <w:bottom w:val="none" w:sz="0" w:space="0" w:color="auto"/>
            <w:right w:val="none" w:sz="0" w:space="0" w:color="auto"/>
          </w:divBdr>
        </w:div>
        <w:div w:id="1838111338">
          <w:marLeft w:val="0"/>
          <w:marRight w:val="0"/>
          <w:marTop w:val="0"/>
          <w:marBottom w:val="0"/>
          <w:divBdr>
            <w:top w:val="none" w:sz="0" w:space="0" w:color="auto"/>
            <w:left w:val="none" w:sz="0" w:space="0" w:color="auto"/>
            <w:bottom w:val="none" w:sz="0" w:space="0" w:color="auto"/>
            <w:right w:val="none" w:sz="0" w:space="0" w:color="auto"/>
          </w:divBdr>
        </w:div>
        <w:div w:id="614097147">
          <w:marLeft w:val="0"/>
          <w:marRight w:val="0"/>
          <w:marTop w:val="0"/>
          <w:marBottom w:val="0"/>
          <w:divBdr>
            <w:top w:val="none" w:sz="0" w:space="0" w:color="auto"/>
            <w:left w:val="none" w:sz="0" w:space="0" w:color="auto"/>
            <w:bottom w:val="none" w:sz="0" w:space="0" w:color="auto"/>
            <w:right w:val="none" w:sz="0" w:space="0" w:color="auto"/>
          </w:divBdr>
        </w:div>
        <w:div w:id="844562795">
          <w:marLeft w:val="0"/>
          <w:marRight w:val="0"/>
          <w:marTop w:val="0"/>
          <w:marBottom w:val="0"/>
          <w:divBdr>
            <w:top w:val="none" w:sz="0" w:space="0" w:color="auto"/>
            <w:left w:val="none" w:sz="0" w:space="0" w:color="auto"/>
            <w:bottom w:val="none" w:sz="0" w:space="0" w:color="auto"/>
            <w:right w:val="none" w:sz="0" w:space="0" w:color="auto"/>
          </w:divBdr>
        </w:div>
        <w:div w:id="1681809086">
          <w:marLeft w:val="0"/>
          <w:marRight w:val="0"/>
          <w:marTop w:val="0"/>
          <w:marBottom w:val="0"/>
          <w:divBdr>
            <w:top w:val="none" w:sz="0" w:space="0" w:color="auto"/>
            <w:left w:val="none" w:sz="0" w:space="0" w:color="auto"/>
            <w:bottom w:val="none" w:sz="0" w:space="0" w:color="auto"/>
            <w:right w:val="none" w:sz="0" w:space="0" w:color="auto"/>
          </w:divBdr>
        </w:div>
        <w:div w:id="1423641779">
          <w:marLeft w:val="0"/>
          <w:marRight w:val="0"/>
          <w:marTop w:val="0"/>
          <w:marBottom w:val="0"/>
          <w:divBdr>
            <w:top w:val="none" w:sz="0" w:space="0" w:color="auto"/>
            <w:left w:val="none" w:sz="0" w:space="0" w:color="auto"/>
            <w:bottom w:val="none" w:sz="0" w:space="0" w:color="auto"/>
            <w:right w:val="none" w:sz="0" w:space="0" w:color="auto"/>
          </w:divBdr>
        </w:div>
        <w:div w:id="1275093743">
          <w:marLeft w:val="0"/>
          <w:marRight w:val="0"/>
          <w:marTop w:val="0"/>
          <w:marBottom w:val="0"/>
          <w:divBdr>
            <w:top w:val="none" w:sz="0" w:space="0" w:color="auto"/>
            <w:left w:val="none" w:sz="0" w:space="0" w:color="auto"/>
            <w:bottom w:val="none" w:sz="0" w:space="0" w:color="auto"/>
            <w:right w:val="none" w:sz="0" w:space="0" w:color="auto"/>
          </w:divBdr>
        </w:div>
        <w:div w:id="306975028">
          <w:marLeft w:val="0"/>
          <w:marRight w:val="0"/>
          <w:marTop w:val="0"/>
          <w:marBottom w:val="0"/>
          <w:divBdr>
            <w:top w:val="none" w:sz="0" w:space="0" w:color="auto"/>
            <w:left w:val="none" w:sz="0" w:space="0" w:color="auto"/>
            <w:bottom w:val="none" w:sz="0" w:space="0" w:color="auto"/>
            <w:right w:val="none" w:sz="0" w:space="0" w:color="auto"/>
          </w:divBdr>
        </w:div>
        <w:div w:id="1942949392">
          <w:marLeft w:val="0"/>
          <w:marRight w:val="0"/>
          <w:marTop w:val="0"/>
          <w:marBottom w:val="0"/>
          <w:divBdr>
            <w:top w:val="none" w:sz="0" w:space="0" w:color="auto"/>
            <w:left w:val="none" w:sz="0" w:space="0" w:color="auto"/>
            <w:bottom w:val="none" w:sz="0" w:space="0" w:color="auto"/>
            <w:right w:val="none" w:sz="0" w:space="0" w:color="auto"/>
          </w:divBdr>
        </w:div>
        <w:div w:id="13118306">
          <w:marLeft w:val="0"/>
          <w:marRight w:val="0"/>
          <w:marTop w:val="0"/>
          <w:marBottom w:val="0"/>
          <w:divBdr>
            <w:top w:val="none" w:sz="0" w:space="0" w:color="auto"/>
            <w:left w:val="none" w:sz="0" w:space="0" w:color="auto"/>
            <w:bottom w:val="none" w:sz="0" w:space="0" w:color="auto"/>
            <w:right w:val="none" w:sz="0" w:space="0" w:color="auto"/>
          </w:divBdr>
        </w:div>
        <w:div w:id="1514539679">
          <w:marLeft w:val="0"/>
          <w:marRight w:val="0"/>
          <w:marTop w:val="0"/>
          <w:marBottom w:val="0"/>
          <w:divBdr>
            <w:top w:val="none" w:sz="0" w:space="0" w:color="auto"/>
            <w:left w:val="none" w:sz="0" w:space="0" w:color="auto"/>
            <w:bottom w:val="none" w:sz="0" w:space="0" w:color="auto"/>
            <w:right w:val="none" w:sz="0" w:space="0" w:color="auto"/>
          </w:divBdr>
        </w:div>
        <w:div w:id="131219300">
          <w:marLeft w:val="0"/>
          <w:marRight w:val="0"/>
          <w:marTop w:val="0"/>
          <w:marBottom w:val="0"/>
          <w:divBdr>
            <w:top w:val="none" w:sz="0" w:space="0" w:color="auto"/>
            <w:left w:val="none" w:sz="0" w:space="0" w:color="auto"/>
            <w:bottom w:val="none" w:sz="0" w:space="0" w:color="auto"/>
            <w:right w:val="none" w:sz="0" w:space="0" w:color="auto"/>
          </w:divBdr>
        </w:div>
        <w:div w:id="222371777">
          <w:marLeft w:val="0"/>
          <w:marRight w:val="0"/>
          <w:marTop w:val="0"/>
          <w:marBottom w:val="0"/>
          <w:divBdr>
            <w:top w:val="none" w:sz="0" w:space="0" w:color="auto"/>
            <w:left w:val="none" w:sz="0" w:space="0" w:color="auto"/>
            <w:bottom w:val="none" w:sz="0" w:space="0" w:color="auto"/>
            <w:right w:val="none" w:sz="0" w:space="0" w:color="auto"/>
          </w:divBdr>
        </w:div>
        <w:div w:id="1144201786">
          <w:marLeft w:val="0"/>
          <w:marRight w:val="0"/>
          <w:marTop w:val="0"/>
          <w:marBottom w:val="0"/>
          <w:divBdr>
            <w:top w:val="none" w:sz="0" w:space="0" w:color="auto"/>
            <w:left w:val="none" w:sz="0" w:space="0" w:color="auto"/>
            <w:bottom w:val="none" w:sz="0" w:space="0" w:color="auto"/>
            <w:right w:val="none" w:sz="0" w:space="0" w:color="auto"/>
          </w:divBdr>
        </w:div>
        <w:div w:id="468328674">
          <w:marLeft w:val="0"/>
          <w:marRight w:val="0"/>
          <w:marTop w:val="0"/>
          <w:marBottom w:val="0"/>
          <w:divBdr>
            <w:top w:val="none" w:sz="0" w:space="0" w:color="auto"/>
            <w:left w:val="none" w:sz="0" w:space="0" w:color="auto"/>
            <w:bottom w:val="none" w:sz="0" w:space="0" w:color="auto"/>
            <w:right w:val="none" w:sz="0" w:space="0" w:color="auto"/>
          </w:divBdr>
        </w:div>
        <w:div w:id="2126579261">
          <w:marLeft w:val="0"/>
          <w:marRight w:val="0"/>
          <w:marTop w:val="0"/>
          <w:marBottom w:val="0"/>
          <w:divBdr>
            <w:top w:val="none" w:sz="0" w:space="0" w:color="auto"/>
            <w:left w:val="none" w:sz="0" w:space="0" w:color="auto"/>
            <w:bottom w:val="none" w:sz="0" w:space="0" w:color="auto"/>
            <w:right w:val="none" w:sz="0" w:space="0" w:color="auto"/>
          </w:divBdr>
        </w:div>
        <w:div w:id="1475950698">
          <w:marLeft w:val="0"/>
          <w:marRight w:val="0"/>
          <w:marTop w:val="0"/>
          <w:marBottom w:val="0"/>
          <w:divBdr>
            <w:top w:val="none" w:sz="0" w:space="0" w:color="auto"/>
            <w:left w:val="none" w:sz="0" w:space="0" w:color="auto"/>
            <w:bottom w:val="none" w:sz="0" w:space="0" w:color="auto"/>
            <w:right w:val="none" w:sz="0" w:space="0" w:color="auto"/>
          </w:divBdr>
        </w:div>
        <w:div w:id="1663269236">
          <w:marLeft w:val="0"/>
          <w:marRight w:val="0"/>
          <w:marTop w:val="0"/>
          <w:marBottom w:val="0"/>
          <w:divBdr>
            <w:top w:val="none" w:sz="0" w:space="0" w:color="auto"/>
            <w:left w:val="none" w:sz="0" w:space="0" w:color="auto"/>
            <w:bottom w:val="none" w:sz="0" w:space="0" w:color="auto"/>
            <w:right w:val="none" w:sz="0" w:space="0" w:color="auto"/>
          </w:divBdr>
        </w:div>
      </w:divsChild>
    </w:div>
    <w:div w:id="241257798">
      <w:bodyDiv w:val="1"/>
      <w:marLeft w:val="0"/>
      <w:marRight w:val="0"/>
      <w:marTop w:val="0"/>
      <w:marBottom w:val="0"/>
      <w:divBdr>
        <w:top w:val="none" w:sz="0" w:space="0" w:color="auto"/>
        <w:left w:val="none" w:sz="0" w:space="0" w:color="auto"/>
        <w:bottom w:val="none" w:sz="0" w:space="0" w:color="auto"/>
        <w:right w:val="none" w:sz="0" w:space="0" w:color="auto"/>
      </w:divBdr>
    </w:div>
    <w:div w:id="378941610">
      <w:bodyDiv w:val="1"/>
      <w:marLeft w:val="0"/>
      <w:marRight w:val="0"/>
      <w:marTop w:val="0"/>
      <w:marBottom w:val="0"/>
      <w:divBdr>
        <w:top w:val="none" w:sz="0" w:space="0" w:color="auto"/>
        <w:left w:val="none" w:sz="0" w:space="0" w:color="auto"/>
        <w:bottom w:val="none" w:sz="0" w:space="0" w:color="auto"/>
        <w:right w:val="none" w:sz="0" w:space="0" w:color="auto"/>
      </w:divBdr>
    </w:div>
    <w:div w:id="425273327">
      <w:bodyDiv w:val="1"/>
      <w:marLeft w:val="0"/>
      <w:marRight w:val="0"/>
      <w:marTop w:val="0"/>
      <w:marBottom w:val="0"/>
      <w:divBdr>
        <w:top w:val="none" w:sz="0" w:space="0" w:color="auto"/>
        <w:left w:val="none" w:sz="0" w:space="0" w:color="auto"/>
        <w:bottom w:val="none" w:sz="0" w:space="0" w:color="auto"/>
        <w:right w:val="none" w:sz="0" w:space="0" w:color="auto"/>
      </w:divBdr>
    </w:div>
    <w:div w:id="613293125">
      <w:bodyDiv w:val="1"/>
      <w:marLeft w:val="0"/>
      <w:marRight w:val="0"/>
      <w:marTop w:val="0"/>
      <w:marBottom w:val="0"/>
      <w:divBdr>
        <w:top w:val="none" w:sz="0" w:space="0" w:color="auto"/>
        <w:left w:val="none" w:sz="0" w:space="0" w:color="auto"/>
        <w:bottom w:val="none" w:sz="0" w:space="0" w:color="auto"/>
        <w:right w:val="none" w:sz="0" w:space="0" w:color="auto"/>
      </w:divBdr>
      <w:divsChild>
        <w:div w:id="517233934">
          <w:marLeft w:val="0"/>
          <w:marRight w:val="0"/>
          <w:marTop w:val="0"/>
          <w:marBottom w:val="0"/>
          <w:divBdr>
            <w:top w:val="none" w:sz="0" w:space="0" w:color="auto"/>
            <w:left w:val="none" w:sz="0" w:space="0" w:color="auto"/>
            <w:bottom w:val="none" w:sz="0" w:space="0" w:color="auto"/>
            <w:right w:val="none" w:sz="0" w:space="0" w:color="auto"/>
          </w:divBdr>
        </w:div>
        <w:div w:id="2032493393">
          <w:marLeft w:val="0"/>
          <w:marRight w:val="0"/>
          <w:marTop w:val="0"/>
          <w:marBottom w:val="0"/>
          <w:divBdr>
            <w:top w:val="none" w:sz="0" w:space="0" w:color="auto"/>
            <w:left w:val="none" w:sz="0" w:space="0" w:color="auto"/>
            <w:bottom w:val="none" w:sz="0" w:space="0" w:color="auto"/>
            <w:right w:val="none" w:sz="0" w:space="0" w:color="auto"/>
          </w:divBdr>
        </w:div>
        <w:div w:id="1081215025">
          <w:marLeft w:val="0"/>
          <w:marRight w:val="0"/>
          <w:marTop w:val="0"/>
          <w:marBottom w:val="0"/>
          <w:divBdr>
            <w:top w:val="none" w:sz="0" w:space="0" w:color="auto"/>
            <w:left w:val="none" w:sz="0" w:space="0" w:color="auto"/>
            <w:bottom w:val="none" w:sz="0" w:space="0" w:color="auto"/>
            <w:right w:val="none" w:sz="0" w:space="0" w:color="auto"/>
          </w:divBdr>
        </w:div>
        <w:div w:id="1170636282">
          <w:marLeft w:val="0"/>
          <w:marRight w:val="0"/>
          <w:marTop w:val="0"/>
          <w:marBottom w:val="0"/>
          <w:divBdr>
            <w:top w:val="none" w:sz="0" w:space="0" w:color="auto"/>
            <w:left w:val="none" w:sz="0" w:space="0" w:color="auto"/>
            <w:bottom w:val="none" w:sz="0" w:space="0" w:color="auto"/>
            <w:right w:val="none" w:sz="0" w:space="0" w:color="auto"/>
          </w:divBdr>
        </w:div>
        <w:div w:id="315573083">
          <w:marLeft w:val="0"/>
          <w:marRight w:val="0"/>
          <w:marTop w:val="0"/>
          <w:marBottom w:val="0"/>
          <w:divBdr>
            <w:top w:val="none" w:sz="0" w:space="0" w:color="auto"/>
            <w:left w:val="none" w:sz="0" w:space="0" w:color="auto"/>
            <w:bottom w:val="none" w:sz="0" w:space="0" w:color="auto"/>
            <w:right w:val="none" w:sz="0" w:space="0" w:color="auto"/>
          </w:divBdr>
        </w:div>
        <w:div w:id="86661180">
          <w:marLeft w:val="0"/>
          <w:marRight w:val="0"/>
          <w:marTop w:val="0"/>
          <w:marBottom w:val="0"/>
          <w:divBdr>
            <w:top w:val="none" w:sz="0" w:space="0" w:color="auto"/>
            <w:left w:val="none" w:sz="0" w:space="0" w:color="auto"/>
            <w:bottom w:val="none" w:sz="0" w:space="0" w:color="auto"/>
            <w:right w:val="none" w:sz="0" w:space="0" w:color="auto"/>
          </w:divBdr>
        </w:div>
        <w:div w:id="134226821">
          <w:marLeft w:val="0"/>
          <w:marRight w:val="0"/>
          <w:marTop w:val="0"/>
          <w:marBottom w:val="0"/>
          <w:divBdr>
            <w:top w:val="none" w:sz="0" w:space="0" w:color="auto"/>
            <w:left w:val="none" w:sz="0" w:space="0" w:color="auto"/>
            <w:bottom w:val="none" w:sz="0" w:space="0" w:color="auto"/>
            <w:right w:val="none" w:sz="0" w:space="0" w:color="auto"/>
          </w:divBdr>
        </w:div>
        <w:div w:id="697899594">
          <w:marLeft w:val="0"/>
          <w:marRight w:val="0"/>
          <w:marTop w:val="0"/>
          <w:marBottom w:val="0"/>
          <w:divBdr>
            <w:top w:val="none" w:sz="0" w:space="0" w:color="auto"/>
            <w:left w:val="none" w:sz="0" w:space="0" w:color="auto"/>
            <w:bottom w:val="none" w:sz="0" w:space="0" w:color="auto"/>
            <w:right w:val="none" w:sz="0" w:space="0" w:color="auto"/>
          </w:divBdr>
        </w:div>
        <w:div w:id="638534380">
          <w:marLeft w:val="0"/>
          <w:marRight w:val="0"/>
          <w:marTop w:val="0"/>
          <w:marBottom w:val="0"/>
          <w:divBdr>
            <w:top w:val="none" w:sz="0" w:space="0" w:color="auto"/>
            <w:left w:val="none" w:sz="0" w:space="0" w:color="auto"/>
            <w:bottom w:val="none" w:sz="0" w:space="0" w:color="auto"/>
            <w:right w:val="none" w:sz="0" w:space="0" w:color="auto"/>
          </w:divBdr>
        </w:div>
        <w:div w:id="1834106895">
          <w:marLeft w:val="0"/>
          <w:marRight w:val="0"/>
          <w:marTop w:val="0"/>
          <w:marBottom w:val="0"/>
          <w:divBdr>
            <w:top w:val="none" w:sz="0" w:space="0" w:color="auto"/>
            <w:left w:val="none" w:sz="0" w:space="0" w:color="auto"/>
            <w:bottom w:val="none" w:sz="0" w:space="0" w:color="auto"/>
            <w:right w:val="none" w:sz="0" w:space="0" w:color="auto"/>
          </w:divBdr>
        </w:div>
        <w:div w:id="718749092">
          <w:marLeft w:val="0"/>
          <w:marRight w:val="0"/>
          <w:marTop w:val="0"/>
          <w:marBottom w:val="0"/>
          <w:divBdr>
            <w:top w:val="none" w:sz="0" w:space="0" w:color="auto"/>
            <w:left w:val="none" w:sz="0" w:space="0" w:color="auto"/>
            <w:bottom w:val="none" w:sz="0" w:space="0" w:color="auto"/>
            <w:right w:val="none" w:sz="0" w:space="0" w:color="auto"/>
          </w:divBdr>
        </w:div>
        <w:div w:id="1279026723">
          <w:marLeft w:val="0"/>
          <w:marRight w:val="0"/>
          <w:marTop w:val="0"/>
          <w:marBottom w:val="0"/>
          <w:divBdr>
            <w:top w:val="none" w:sz="0" w:space="0" w:color="auto"/>
            <w:left w:val="none" w:sz="0" w:space="0" w:color="auto"/>
            <w:bottom w:val="none" w:sz="0" w:space="0" w:color="auto"/>
            <w:right w:val="none" w:sz="0" w:space="0" w:color="auto"/>
          </w:divBdr>
        </w:div>
        <w:div w:id="2142183427">
          <w:marLeft w:val="0"/>
          <w:marRight w:val="0"/>
          <w:marTop w:val="0"/>
          <w:marBottom w:val="0"/>
          <w:divBdr>
            <w:top w:val="none" w:sz="0" w:space="0" w:color="auto"/>
            <w:left w:val="none" w:sz="0" w:space="0" w:color="auto"/>
            <w:bottom w:val="none" w:sz="0" w:space="0" w:color="auto"/>
            <w:right w:val="none" w:sz="0" w:space="0" w:color="auto"/>
          </w:divBdr>
        </w:div>
        <w:div w:id="630285752">
          <w:marLeft w:val="0"/>
          <w:marRight w:val="0"/>
          <w:marTop w:val="0"/>
          <w:marBottom w:val="0"/>
          <w:divBdr>
            <w:top w:val="none" w:sz="0" w:space="0" w:color="auto"/>
            <w:left w:val="none" w:sz="0" w:space="0" w:color="auto"/>
            <w:bottom w:val="none" w:sz="0" w:space="0" w:color="auto"/>
            <w:right w:val="none" w:sz="0" w:space="0" w:color="auto"/>
          </w:divBdr>
        </w:div>
        <w:div w:id="2092777628">
          <w:marLeft w:val="0"/>
          <w:marRight w:val="0"/>
          <w:marTop w:val="0"/>
          <w:marBottom w:val="0"/>
          <w:divBdr>
            <w:top w:val="none" w:sz="0" w:space="0" w:color="auto"/>
            <w:left w:val="none" w:sz="0" w:space="0" w:color="auto"/>
            <w:bottom w:val="none" w:sz="0" w:space="0" w:color="auto"/>
            <w:right w:val="none" w:sz="0" w:space="0" w:color="auto"/>
          </w:divBdr>
        </w:div>
        <w:div w:id="724527180">
          <w:marLeft w:val="0"/>
          <w:marRight w:val="0"/>
          <w:marTop w:val="0"/>
          <w:marBottom w:val="0"/>
          <w:divBdr>
            <w:top w:val="none" w:sz="0" w:space="0" w:color="auto"/>
            <w:left w:val="none" w:sz="0" w:space="0" w:color="auto"/>
            <w:bottom w:val="none" w:sz="0" w:space="0" w:color="auto"/>
            <w:right w:val="none" w:sz="0" w:space="0" w:color="auto"/>
          </w:divBdr>
        </w:div>
        <w:div w:id="1439372709">
          <w:marLeft w:val="0"/>
          <w:marRight w:val="0"/>
          <w:marTop w:val="0"/>
          <w:marBottom w:val="0"/>
          <w:divBdr>
            <w:top w:val="none" w:sz="0" w:space="0" w:color="auto"/>
            <w:left w:val="none" w:sz="0" w:space="0" w:color="auto"/>
            <w:bottom w:val="none" w:sz="0" w:space="0" w:color="auto"/>
            <w:right w:val="none" w:sz="0" w:space="0" w:color="auto"/>
          </w:divBdr>
        </w:div>
        <w:div w:id="1525368215">
          <w:marLeft w:val="0"/>
          <w:marRight w:val="0"/>
          <w:marTop w:val="0"/>
          <w:marBottom w:val="0"/>
          <w:divBdr>
            <w:top w:val="none" w:sz="0" w:space="0" w:color="auto"/>
            <w:left w:val="none" w:sz="0" w:space="0" w:color="auto"/>
            <w:bottom w:val="none" w:sz="0" w:space="0" w:color="auto"/>
            <w:right w:val="none" w:sz="0" w:space="0" w:color="auto"/>
          </w:divBdr>
        </w:div>
        <w:div w:id="1003513006">
          <w:marLeft w:val="0"/>
          <w:marRight w:val="0"/>
          <w:marTop w:val="0"/>
          <w:marBottom w:val="0"/>
          <w:divBdr>
            <w:top w:val="none" w:sz="0" w:space="0" w:color="auto"/>
            <w:left w:val="none" w:sz="0" w:space="0" w:color="auto"/>
            <w:bottom w:val="none" w:sz="0" w:space="0" w:color="auto"/>
            <w:right w:val="none" w:sz="0" w:space="0" w:color="auto"/>
          </w:divBdr>
        </w:div>
        <w:div w:id="167209095">
          <w:marLeft w:val="0"/>
          <w:marRight w:val="0"/>
          <w:marTop w:val="0"/>
          <w:marBottom w:val="0"/>
          <w:divBdr>
            <w:top w:val="none" w:sz="0" w:space="0" w:color="auto"/>
            <w:left w:val="none" w:sz="0" w:space="0" w:color="auto"/>
            <w:bottom w:val="none" w:sz="0" w:space="0" w:color="auto"/>
            <w:right w:val="none" w:sz="0" w:space="0" w:color="auto"/>
          </w:divBdr>
        </w:div>
        <w:div w:id="657080597">
          <w:marLeft w:val="0"/>
          <w:marRight w:val="0"/>
          <w:marTop w:val="0"/>
          <w:marBottom w:val="0"/>
          <w:divBdr>
            <w:top w:val="none" w:sz="0" w:space="0" w:color="auto"/>
            <w:left w:val="none" w:sz="0" w:space="0" w:color="auto"/>
            <w:bottom w:val="none" w:sz="0" w:space="0" w:color="auto"/>
            <w:right w:val="none" w:sz="0" w:space="0" w:color="auto"/>
          </w:divBdr>
        </w:div>
        <w:div w:id="1540976148">
          <w:marLeft w:val="0"/>
          <w:marRight w:val="0"/>
          <w:marTop w:val="0"/>
          <w:marBottom w:val="0"/>
          <w:divBdr>
            <w:top w:val="none" w:sz="0" w:space="0" w:color="auto"/>
            <w:left w:val="none" w:sz="0" w:space="0" w:color="auto"/>
            <w:bottom w:val="none" w:sz="0" w:space="0" w:color="auto"/>
            <w:right w:val="none" w:sz="0" w:space="0" w:color="auto"/>
          </w:divBdr>
        </w:div>
        <w:div w:id="441996635">
          <w:marLeft w:val="0"/>
          <w:marRight w:val="0"/>
          <w:marTop w:val="0"/>
          <w:marBottom w:val="0"/>
          <w:divBdr>
            <w:top w:val="none" w:sz="0" w:space="0" w:color="auto"/>
            <w:left w:val="none" w:sz="0" w:space="0" w:color="auto"/>
            <w:bottom w:val="none" w:sz="0" w:space="0" w:color="auto"/>
            <w:right w:val="none" w:sz="0" w:space="0" w:color="auto"/>
          </w:divBdr>
        </w:div>
        <w:div w:id="932664832">
          <w:marLeft w:val="0"/>
          <w:marRight w:val="0"/>
          <w:marTop w:val="0"/>
          <w:marBottom w:val="0"/>
          <w:divBdr>
            <w:top w:val="none" w:sz="0" w:space="0" w:color="auto"/>
            <w:left w:val="none" w:sz="0" w:space="0" w:color="auto"/>
            <w:bottom w:val="none" w:sz="0" w:space="0" w:color="auto"/>
            <w:right w:val="none" w:sz="0" w:space="0" w:color="auto"/>
          </w:divBdr>
        </w:div>
        <w:div w:id="1671789194">
          <w:marLeft w:val="0"/>
          <w:marRight w:val="0"/>
          <w:marTop w:val="0"/>
          <w:marBottom w:val="0"/>
          <w:divBdr>
            <w:top w:val="none" w:sz="0" w:space="0" w:color="auto"/>
            <w:left w:val="none" w:sz="0" w:space="0" w:color="auto"/>
            <w:bottom w:val="none" w:sz="0" w:space="0" w:color="auto"/>
            <w:right w:val="none" w:sz="0" w:space="0" w:color="auto"/>
          </w:divBdr>
        </w:div>
      </w:divsChild>
    </w:div>
    <w:div w:id="715129614">
      <w:bodyDiv w:val="1"/>
      <w:marLeft w:val="0"/>
      <w:marRight w:val="0"/>
      <w:marTop w:val="0"/>
      <w:marBottom w:val="0"/>
      <w:divBdr>
        <w:top w:val="none" w:sz="0" w:space="0" w:color="auto"/>
        <w:left w:val="none" w:sz="0" w:space="0" w:color="auto"/>
        <w:bottom w:val="none" w:sz="0" w:space="0" w:color="auto"/>
        <w:right w:val="none" w:sz="0" w:space="0" w:color="auto"/>
      </w:divBdr>
    </w:div>
    <w:div w:id="786050932">
      <w:bodyDiv w:val="1"/>
      <w:marLeft w:val="0"/>
      <w:marRight w:val="0"/>
      <w:marTop w:val="0"/>
      <w:marBottom w:val="0"/>
      <w:divBdr>
        <w:top w:val="none" w:sz="0" w:space="0" w:color="auto"/>
        <w:left w:val="none" w:sz="0" w:space="0" w:color="auto"/>
        <w:bottom w:val="none" w:sz="0" w:space="0" w:color="auto"/>
        <w:right w:val="none" w:sz="0" w:space="0" w:color="auto"/>
      </w:divBdr>
    </w:div>
    <w:div w:id="798762127">
      <w:bodyDiv w:val="1"/>
      <w:marLeft w:val="0"/>
      <w:marRight w:val="0"/>
      <w:marTop w:val="0"/>
      <w:marBottom w:val="0"/>
      <w:divBdr>
        <w:top w:val="none" w:sz="0" w:space="0" w:color="auto"/>
        <w:left w:val="none" w:sz="0" w:space="0" w:color="auto"/>
        <w:bottom w:val="none" w:sz="0" w:space="0" w:color="auto"/>
        <w:right w:val="none" w:sz="0" w:space="0" w:color="auto"/>
      </w:divBdr>
    </w:div>
    <w:div w:id="901403108">
      <w:bodyDiv w:val="1"/>
      <w:marLeft w:val="0"/>
      <w:marRight w:val="0"/>
      <w:marTop w:val="0"/>
      <w:marBottom w:val="0"/>
      <w:divBdr>
        <w:top w:val="none" w:sz="0" w:space="0" w:color="auto"/>
        <w:left w:val="none" w:sz="0" w:space="0" w:color="auto"/>
        <w:bottom w:val="none" w:sz="0" w:space="0" w:color="auto"/>
        <w:right w:val="none" w:sz="0" w:space="0" w:color="auto"/>
      </w:divBdr>
    </w:div>
    <w:div w:id="935477124">
      <w:bodyDiv w:val="1"/>
      <w:marLeft w:val="0"/>
      <w:marRight w:val="0"/>
      <w:marTop w:val="0"/>
      <w:marBottom w:val="0"/>
      <w:divBdr>
        <w:top w:val="none" w:sz="0" w:space="0" w:color="auto"/>
        <w:left w:val="none" w:sz="0" w:space="0" w:color="auto"/>
        <w:bottom w:val="none" w:sz="0" w:space="0" w:color="auto"/>
        <w:right w:val="none" w:sz="0" w:space="0" w:color="auto"/>
      </w:divBdr>
    </w:div>
    <w:div w:id="947077097">
      <w:bodyDiv w:val="1"/>
      <w:marLeft w:val="0"/>
      <w:marRight w:val="0"/>
      <w:marTop w:val="0"/>
      <w:marBottom w:val="0"/>
      <w:divBdr>
        <w:top w:val="none" w:sz="0" w:space="0" w:color="auto"/>
        <w:left w:val="none" w:sz="0" w:space="0" w:color="auto"/>
        <w:bottom w:val="none" w:sz="0" w:space="0" w:color="auto"/>
        <w:right w:val="none" w:sz="0" w:space="0" w:color="auto"/>
      </w:divBdr>
    </w:div>
    <w:div w:id="962346160">
      <w:bodyDiv w:val="1"/>
      <w:marLeft w:val="0"/>
      <w:marRight w:val="0"/>
      <w:marTop w:val="0"/>
      <w:marBottom w:val="0"/>
      <w:divBdr>
        <w:top w:val="none" w:sz="0" w:space="0" w:color="auto"/>
        <w:left w:val="none" w:sz="0" w:space="0" w:color="auto"/>
        <w:bottom w:val="none" w:sz="0" w:space="0" w:color="auto"/>
        <w:right w:val="none" w:sz="0" w:space="0" w:color="auto"/>
      </w:divBdr>
    </w:div>
    <w:div w:id="962734459">
      <w:bodyDiv w:val="1"/>
      <w:marLeft w:val="0"/>
      <w:marRight w:val="0"/>
      <w:marTop w:val="0"/>
      <w:marBottom w:val="0"/>
      <w:divBdr>
        <w:top w:val="none" w:sz="0" w:space="0" w:color="auto"/>
        <w:left w:val="none" w:sz="0" w:space="0" w:color="auto"/>
        <w:bottom w:val="none" w:sz="0" w:space="0" w:color="auto"/>
        <w:right w:val="none" w:sz="0" w:space="0" w:color="auto"/>
      </w:divBdr>
    </w:div>
    <w:div w:id="980840525">
      <w:bodyDiv w:val="1"/>
      <w:marLeft w:val="0"/>
      <w:marRight w:val="0"/>
      <w:marTop w:val="0"/>
      <w:marBottom w:val="0"/>
      <w:divBdr>
        <w:top w:val="none" w:sz="0" w:space="0" w:color="auto"/>
        <w:left w:val="none" w:sz="0" w:space="0" w:color="auto"/>
        <w:bottom w:val="none" w:sz="0" w:space="0" w:color="auto"/>
        <w:right w:val="none" w:sz="0" w:space="0" w:color="auto"/>
      </w:divBdr>
    </w:div>
    <w:div w:id="1163544410">
      <w:bodyDiv w:val="1"/>
      <w:marLeft w:val="0"/>
      <w:marRight w:val="0"/>
      <w:marTop w:val="0"/>
      <w:marBottom w:val="0"/>
      <w:divBdr>
        <w:top w:val="none" w:sz="0" w:space="0" w:color="auto"/>
        <w:left w:val="none" w:sz="0" w:space="0" w:color="auto"/>
        <w:bottom w:val="none" w:sz="0" w:space="0" w:color="auto"/>
        <w:right w:val="none" w:sz="0" w:space="0" w:color="auto"/>
      </w:divBdr>
    </w:div>
    <w:div w:id="1198545456">
      <w:bodyDiv w:val="1"/>
      <w:marLeft w:val="0"/>
      <w:marRight w:val="0"/>
      <w:marTop w:val="0"/>
      <w:marBottom w:val="0"/>
      <w:divBdr>
        <w:top w:val="none" w:sz="0" w:space="0" w:color="auto"/>
        <w:left w:val="none" w:sz="0" w:space="0" w:color="auto"/>
        <w:bottom w:val="none" w:sz="0" w:space="0" w:color="auto"/>
        <w:right w:val="none" w:sz="0" w:space="0" w:color="auto"/>
      </w:divBdr>
    </w:div>
    <w:div w:id="1275597041">
      <w:bodyDiv w:val="1"/>
      <w:marLeft w:val="0"/>
      <w:marRight w:val="0"/>
      <w:marTop w:val="0"/>
      <w:marBottom w:val="0"/>
      <w:divBdr>
        <w:top w:val="none" w:sz="0" w:space="0" w:color="auto"/>
        <w:left w:val="none" w:sz="0" w:space="0" w:color="auto"/>
        <w:bottom w:val="none" w:sz="0" w:space="0" w:color="auto"/>
        <w:right w:val="none" w:sz="0" w:space="0" w:color="auto"/>
      </w:divBdr>
    </w:div>
    <w:div w:id="1291013415">
      <w:bodyDiv w:val="1"/>
      <w:marLeft w:val="0"/>
      <w:marRight w:val="0"/>
      <w:marTop w:val="0"/>
      <w:marBottom w:val="0"/>
      <w:divBdr>
        <w:top w:val="none" w:sz="0" w:space="0" w:color="auto"/>
        <w:left w:val="none" w:sz="0" w:space="0" w:color="auto"/>
        <w:bottom w:val="none" w:sz="0" w:space="0" w:color="auto"/>
        <w:right w:val="none" w:sz="0" w:space="0" w:color="auto"/>
      </w:divBdr>
    </w:div>
    <w:div w:id="1323123646">
      <w:bodyDiv w:val="1"/>
      <w:marLeft w:val="0"/>
      <w:marRight w:val="0"/>
      <w:marTop w:val="0"/>
      <w:marBottom w:val="0"/>
      <w:divBdr>
        <w:top w:val="none" w:sz="0" w:space="0" w:color="auto"/>
        <w:left w:val="none" w:sz="0" w:space="0" w:color="auto"/>
        <w:bottom w:val="none" w:sz="0" w:space="0" w:color="auto"/>
        <w:right w:val="none" w:sz="0" w:space="0" w:color="auto"/>
      </w:divBdr>
    </w:div>
    <w:div w:id="1336415664">
      <w:bodyDiv w:val="1"/>
      <w:marLeft w:val="0"/>
      <w:marRight w:val="0"/>
      <w:marTop w:val="0"/>
      <w:marBottom w:val="0"/>
      <w:divBdr>
        <w:top w:val="none" w:sz="0" w:space="0" w:color="auto"/>
        <w:left w:val="none" w:sz="0" w:space="0" w:color="auto"/>
        <w:bottom w:val="none" w:sz="0" w:space="0" w:color="auto"/>
        <w:right w:val="none" w:sz="0" w:space="0" w:color="auto"/>
      </w:divBdr>
      <w:divsChild>
        <w:div w:id="1233736217">
          <w:marLeft w:val="0"/>
          <w:marRight w:val="0"/>
          <w:marTop w:val="0"/>
          <w:marBottom w:val="0"/>
          <w:divBdr>
            <w:top w:val="none" w:sz="0" w:space="0" w:color="auto"/>
            <w:left w:val="none" w:sz="0" w:space="0" w:color="auto"/>
            <w:bottom w:val="none" w:sz="0" w:space="0" w:color="auto"/>
            <w:right w:val="none" w:sz="0" w:space="0" w:color="auto"/>
          </w:divBdr>
        </w:div>
        <w:div w:id="798916077">
          <w:marLeft w:val="0"/>
          <w:marRight w:val="0"/>
          <w:marTop w:val="0"/>
          <w:marBottom w:val="0"/>
          <w:divBdr>
            <w:top w:val="none" w:sz="0" w:space="0" w:color="auto"/>
            <w:left w:val="none" w:sz="0" w:space="0" w:color="auto"/>
            <w:bottom w:val="none" w:sz="0" w:space="0" w:color="auto"/>
            <w:right w:val="none" w:sz="0" w:space="0" w:color="auto"/>
          </w:divBdr>
        </w:div>
        <w:div w:id="465204150">
          <w:marLeft w:val="0"/>
          <w:marRight w:val="0"/>
          <w:marTop w:val="0"/>
          <w:marBottom w:val="0"/>
          <w:divBdr>
            <w:top w:val="none" w:sz="0" w:space="0" w:color="auto"/>
            <w:left w:val="none" w:sz="0" w:space="0" w:color="auto"/>
            <w:bottom w:val="none" w:sz="0" w:space="0" w:color="auto"/>
            <w:right w:val="none" w:sz="0" w:space="0" w:color="auto"/>
          </w:divBdr>
        </w:div>
        <w:div w:id="1096175684">
          <w:marLeft w:val="0"/>
          <w:marRight w:val="0"/>
          <w:marTop w:val="0"/>
          <w:marBottom w:val="0"/>
          <w:divBdr>
            <w:top w:val="none" w:sz="0" w:space="0" w:color="auto"/>
            <w:left w:val="none" w:sz="0" w:space="0" w:color="auto"/>
            <w:bottom w:val="none" w:sz="0" w:space="0" w:color="auto"/>
            <w:right w:val="none" w:sz="0" w:space="0" w:color="auto"/>
          </w:divBdr>
        </w:div>
        <w:div w:id="1389643890">
          <w:marLeft w:val="0"/>
          <w:marRight w:val="0"/>
          <w:marTop w:val="0"/>
          <w:marBottom w:val="0"/>
          <w:divBdr>
            <w:top w:val="none" w:sz="0" w:space="0" w:color="auto"/>
            <w:left w:val="none" w:sz="0" w:space="0" w:color="auto"/>
            <w:bottom w:val="none" w:sz="0" w:space="0" w:color="auto"/>
            <w:right w:val="none" w:sz="0" w:space="0" w:color="auto"/>
          </w:divBdr>
        </w:div>
      </w:divsChild>
    </w:div>
    <w:div w:id="1496610272">
      <w:bodyDiv w:val="1"/>
      <w:marLeft w:val="0"/>
      <w:marRight w:val="0"/>
      <w:marTop w:val="0"/>
      <w:marBottom w:val="0"/>
      <w:divBdr>
        <w:top w:val="none" w:sz="0" w:space="0" w:color="auto"/>
        <w:left w:val="none" w:sz="0" w:space="0" w:color="auto"/>
        <w:bottom w:val="none" w:sz="0" w:space="0" w:color="auto"/>
        <w:right w:val="none" w:sz="0" w:space="0" w:color="auto"/>
      </w:divBdr>
    </w:div>
    <w:div w:id="1627276515">
      <w:bodyDiv w:val="1"/>
      <w:marLeft w:val="0"/>
      <w:marRight w:val="0"/>
      <w:marTop w:val="0"/>
      <w:marBottom w:val="0"/>
      <w:divBdr>
        <w:top w:val="none" w:sz="0" w:space="0" w:color="auto"/>
        <w:left w:val="none" w:sz="0" w:space="0" w:color="auto"/>
        <w:bottom w:val="none" w:sz="0" w:space="0" w:color="auto"/>
        <w:right w:val="none" w:sz="0" w:space="0" w:color="auto"/>
      </w:divBdr>
    </w:div>
    <w:div w:id="1714620678">
      <w:bodyDiv w:val="1"/>
      <w:marLeft w:val="0"/>
      <w:marRight w:val="0"/>
      <w:marTop w:val="0"/>
      <w:marBottom w:val="0"/>
      <w:divBdr>
        <w:top w:val="none" w:sz="0" w:space="0" w:color="auto"/>
        <w:left w:val="none" w:sz="0" w:space="0" w:color="auto"/>
        <w:bottom w:val="none" w:sz="0" w:space="0" w:color="auto"/>
        <w:right w:val="none" w:sz="0" w:space="0" w:color="auto"/>
      </w:divBdr>
    </w:div>
    <w:div w:id="1759328973">
      <w:bodyDiv w:val="1"/>
      <w:marLeft w:val="0"/>
      <w:marRight w:val="0"/>
      <w:marTop w:val="0"/>
      <w:marBottom w:val="0"/>
      <w:divBdr>
        <w:top w:val="none" w:sz="0" w:space="0" w:color="auto"/>
        <w:left w:val="none" w:sz="0" w:space="0" w:color="auto"/>
        <w:bottom w:val="none" w:sz="0" w:space="0" w:color="auto"/>
        <w:right w:val="none" w:sz="0" w:space="0" w:color="auto"/>
      </w:divBdr>
    </w:div>
    <w:div w:id="1821192643">
      <w:bodyDiv w:val="1"/>
      <w:marLeft w:val="0"/>
      <w:marRight w:val="0"/>
      <w:marTop w:val="0"/>
      <w:marBottom w:val="0"/>
      <w:divBdr>
        <w:top w:val="none" w:sz="0" w:space="0" w:color="auto"/>
        <w:left w:val="none" w:sz="0" w:space="0" w:color="auto"/>
        <w:bottom w:val="none" w:sz="0" w:space="0" w:color="auto"/>
        <w:right w:val="none" w:sz="0" w:space="0" w:color="auto"/>
      </w:divBdr>
    </w:div>
    <w:div w:id="1836678188">
      <w:bodyDiv w:val="1"/>
      <w:marLeft w:val="0"/>
      <w:marRight w:val="0"/>
      <w:marTop w:val="0"/>
      <w:marBottom w:val="0"/>
      <w:divBdr>
        <w:top w:val="none" w:sz="0" w:space="0" w:color="auto"/>
        <w:left w:val="none" w:sz="0" w:space="0" w:color="auto"/>
        <w:bottom w:val="none" w:sz="0" w:space="0" w:color="auto"/>
        <w:right w:val="none" w:sz="0" w:space="0" w:color="auto"/>
      </w:divBdr>
    </w:div>
    <w:div w:id="2089307213">
      <w:bodyDiv w:val="1"/>
      <w:marLeft w:val="0"/>
      <w:marRight w:val="0"/>
      <w:marTop w:val="0"/>
      <w:marBottom w:val="0"/>
      <w:divBdr>
        <w:top w:val="none" w:sz="0" w:space="0" w:color="auto"/>
        <w:left w:val="none" w:sz="0" w:space="0" w:color="auto"/>
        <w:bottom w:val="none" w:sz="0" w:space="0" w:color="auto"/>
        <w:right w:val="none" w:sz="0" w:space="0" w:color="auto"/>
      </w:divBdr>
    </w:div>
    <w:div w:id="211624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74F21EE459804898C26619F73BFFBD" ma:contentTypeVersion="13" ma:contentTypeDescription="Create a new document." ma:contentTypeScope="" ma:versionID="b697c39178c3e8d95c9c92fb3af53440">
  <xsd:schema xmlns:xsd="http://www.w3.org/2001/XMLSchema" xmlns:xs="http://www.w3.org/2001/XMLSchema" xmlns:p="http://schemas.microsoft.com/office/2006/metadata/properties" xmlns:ns3="a513e81c-aa9f-4134-a2a7-faa122d73f4f" xmlns:ns4="ea475f6a-d5b8-4bf9-8b37-4787615644ac" targetNamespace="http://schemas.microsoft.com/office/2006/metadata/properties" ma:root="true" ma:fieldsID="43f6b708bce655b71f2e68afc63c2409" ns3:_="" ns4:_="">
    <xsd:import namespace="a513e81c-aa9f-4134-a2a7-faa122d73f4f"/>
    <xsd:import namespace="ea475f6a-d5b8-4bf9-8b37-4787615644a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3e81c-aa9f-4134-a2a7-faa122d73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475f6a-d5b8-4bf9-8b37-4787615644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6DD34E-2142-4BAB-AC0C-A894C20A7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3e81c-aa9f-4134-a2a7-faa122d73f4f"/>
    <ds:schemaRef ds:uri="ea475f6a-d5b8-4bf9-8b37-478761564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FC3A9-BF60-42E6-B4E9-2DD8A8AE73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203A2-73F6-40F3-A0AB-3EFE2085DF4E}">
  <ds:schemaRefs>
    <ds:schemaRef ds:uri="http://schemas.openxmlformats.org/officeDocument/2006/bibliography"/>
  </ds:schemaRefs>
</ds:datastoreItem>
</file>

<file path=customXml/itemProps4.xml><?xml version="1.0" encoding="utf-8"?>
<ds:datastoreItem xmlns:ds="http://schemas.openxmlformats.org/officeDocument/2006/customXml" ds:itemID="{22945894-9F3C-4131-B730-00DDA6512F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2501</Words>
  <Characters>14960</Characters>
  <Application>Microsoft Office Word</Application>
  <DocSecurity>0</DocSecurity>
  <Lines>515</Lines>
  <Paragraphs>295</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
      <vt:lpstr>CHAPTER 1: Introduction</vt:lpstr>
      <vt:lpstr>CHAPTER 2: Overview of methods used in this project</vt:lpstr>
      <vt:lpstr>    2.1 Design: Observational cohorts emulating target randomised controlled trials </vt:lpstr>
      <vt:lpstr>    2.2 Study data: The Clinical Practice Research Datalink (CPRD)</vt:lpstr>
      <vt:lpstr>        2.2.1 Identification of pregnancies and linkage of women to offspring</vt:lpstr>
      <vt:lpstr>        2.2.2 Linkage of CPRD data with other resources </vt:lpstr>
      <vt:lpstr>    2.3 Study cohort selection  </vt:lpstr>
      <vt:lpstr>        2.3.1 Pregnant women’s cohort </vt:lpstr>
      <vt:lpstr>        2.3.2 Mother and Child Cohort </vt:lpstr>
      <vt:lpstr>    2.4 Definition of treatment groups</vt:lpstr>
      <vt:lpstr>    </vt:lpstr>
      <vt:lpstr>    Figure 3. Allocation of treatment groups</vt:lpstr>
      <vt:lpstr>    </vt:lpstr>
      <vt:lpstr>    2.6 Womens’ service use outcomes</vt:lpstr>
      <vt:lpstr>        2.6.1 GP Consultations</vt:lpstr>
      <vt:lpstr>        2.6.2 Referrals made by the GP </vt:lpstr>
      <vt:lpstr>        2.6.3 In-patient admissions</vt:lpstr>
      <vt:lpstr>        2.6.4 Out-patient treatment</vt:lpstr>
      <vt:lpstr>        2.6.5 Accident and emergency department attendance </vt:lpstr>
      <vt:lpstr>    2.7 All cause and cause specific mortality</vt:lpstr>
      <vt:lpstr>    2.8 Prescription of an antidepressant at 2-year follow-up  </vt:lpstr>
      <vt:lpstr>    2.9 Offspring neurodevelopmental outcomes </vt:lpstr>
      <vt:lpstr>        2.9.1. Autism spectrum disorder</vt:lpstr>
      <vt:lpstr>        2.9.2 Intellectual disability</vt:lpstr>
      <vt:lpstr>        2.9.3 Attention deficit hyperactivity disorder (ADHD)</vt:lpstr>
      <vt:lpstr>    2.10 Covariates</vt:lpstr>
      <vt:lpstr>    2.12 Methods to account for confounding</vt:lpstr>
      <vt:lpstr>        2.12.1 Multivariable regression </vt:lpstr>
      <vt:lpstr>        2.12.2 Propensity score matched regression</vt:lpstr>
      <vt:lpstr>        2.12.3 Instrumental variable analysis</vt:lpstr>
      <vt:lpstr>        2.12.4 Matched treatment-discordance designs</vt:lpstr>
      <vt:lpstr>        2.12.5 Negative control analysis</vt:lpstr>
      <vt:lpstr>        2.12.6 Variation by indication: Depression versus other indication for antidepre</vt:lpstr>
      <vt:lpstr>    2.13 Additional analyses</vt:lpstr>
      <vt:lpstr>        2.13.1 Association by timing of initiation in pregnancy </vt:lpstr>
      <vt:lpstr>        2.13.2 Dose response of associations </vt:lpstr>
      <vt:lpstr>        2.13.3 Associations for type of antidepressants </vt:lpstr>
      <vt:lpstr>        2.13.4 Associations by serotonin transporter receptor affinity </vt:lpstr>
      <vt:lpstr>        2.13.5 Associations for specific antidepressant medications </vt:lpstr>
      <vt:lpstr>    2.14 Patient and Public Involvement</vt:lpstr>
      <vt:lpstr>    2.14 Deviations from the protocol</vt:lpstr>
      <vt:lpstr>CHAPTER 3: Emulating the antidepressant initiation trial </vt:lpstr>
      <vt:lpstr>    3.1 Methods</vt:lpstr>
      <vt:lpstr>        3.1.1 Study cohorts</vt:lpstr>
      <vt:lpstr>        3.1.2 Statistical analysis</vt:lpstr>
      <vt:lpstr>    3.2 Results</vt:lpstr>
      <vt:lpstr>    3.2.1 Descriptive statistics of initiators vs non-initiators of antidepressants </vt:lpstr>
      <vt:lpstr>    3.2.2 Results of multivariable regression and propensity score matched analysis</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 Heuvelman</dc:creator>
  <cp:keywords/>
  <dc:description/>
  <cp:lastModifiedBy>Euan Notley</cp:lastModifiedBy>
  <cp:revision>6</cp:revision>
  <dcterms:created xsi:type="dcterms:W3CDTF">2022-05-19T14:41:00Z</dcterms:created>
  <dcterms:modified xsi:type="dcterms:W3CDTF">2022-06-14T15:08:00Z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0x010100B574F21EE459804898C26619F73BFFBD</vt:lpwstr>
  </property>
</Properties>
</file>